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1BA0F">
      <w:pPr>
        <w:keepNext w:val="0"/>
        <w:keepLines w:val="0"/>
        <w:pageBreakBefore w:val="0"/>
        <w:widowControl w:val="0"/>
        <w:suppressLineNumbers w:val="0"/>
        <w:kinsoku/>
        <w:wordWrap/>
        <w:overflowPunct/>
        <w:topLinePunct w:val="0"/>
        <w:autoSpaceDE/>
        <w:autoSpaceDN/>
        <w:bidi w:val="0"/>
        <w:adjustRightInd w:val="0"/>
        <w:snapToGrid w:val="0"/>
        <w:spacing w:line="640" w:lineRule="exact"/>
        <w:ind w:firstLine="0" w:firstLineChars="0"/>
        <w:jc w:val="center"/>
        <w:textAlignment w:val="auto"/>
        <w:rPr>
          <w:rFonts w:hint="eastAsia" w:ascii="方正公文小标宋" w:hAnsi="方正公文小标宋" w:eastAsia="方正公文小标宋" w:cs="方正公文小标宋"/>
          <w:color w:val="auto"/>
          <w:sz w:val="44"/>
          <w:szCs w:val="44"/>
          <w:highlight w:val="none"/>
        </w:rPr>
      </w:pPr>
      <w:r>
        <w:rPr>
          <w:rFonts w:hint="eastAsia" w:ascii="方正公文小标宋" w:hAnsi="方正公文小标宋" w:eastAsia="方正公文小标宋" w:cs="方正公文小标宋"/>
          <w:color w:val="auto"/>
          <w:sz w:val="44"/>
          <w:szCs w:val="44"/>
          <w:highlight w:val="none"/>
        </w:rPr>
        <w:t>关于支持新能源发电、抽水蓄能及</w:t>
      </w:r>
    </w:p>
    <w:p w14:paraId="550CF85D">
      <w:pPr>
        <w:keepNext w:val="0"/>
        <w:keepLines w:val="0"/>
        <w:pageBreakBefore w:val="0"/>
        <w:widowControl w:val="0"/>
        <w:suppressLineNumbers w:val="0"/>
        <w:kinsoku/>
        <w:wordWrap/>
        <w:overflowPunct/>
        <w:topLinePunct w:val="0"/>
        <w:autoSpaceDE/>
        <w:autoSpaceDN/>
        <w:bidi w:val="0"/>
        <w:adjustRightInd w:val="0"/>
        <w:snapToGrid w:val="0"/>
        <w:spacing w:line="640" w:lineRule="exact"/>
        <w:ind w:firstLine="0" w:firstLineChars="0"/>
        <w:jc w:val="center"/>
        <w:textAlignment w:val="auto"/>
        <w:rPr>
          <w:rFonts w:hint="eastAsia" w:ascii="方正公文小标宋" w:hAnsi="方正公文小标宋" w:eastAsia="方正公文小标宋" w:cs="方正公文小标宋"/>
          <w:color w:val="auto"/>
          <w:sz w:val="44"/>
          <w:szCs w:val="44"/>
          <w:highlight w:val="none"/>
        </w:rPr>
      </w:pPr>
      <w:r>
        <w:rPr>
          <w:rFonts w:hint="eastAsia" w:ascii="方正公文小标宋" w:hAnsi="方正公文小标宋" w:eastAsia="方正公文小标宋" w:cs="方正公文小标宋"/>
          <w:color w:val="auto"/>
          <w:sz w:val="44"/>
          <w:szCs w:val="44"/>
          <w:highlight w:val="none"/>
        </w:rPr>
        <w:t>电网建设用地的若干措施</w:t>
      </w:r>
    </w:p>
    <w:p w14:paraId="515E4AB0">
      <w:pPr>
        <w:keepNext w:val="0"/>
        <w:keepLines w:val="0"/>
        <w:pageBreakBefore w:val="0"/>
        <w:widowControl w:val="0"/>
        <w:suppressLineNumbers w:val="0"/>
        <w:kinsoku/>
        <w:wordWrap/>
        <w:overflowPunct/>
        <w:topLinePunct w:val="0"/>
        <w:autoSpaceDE/>
        <w:autoSpaceDN/>
        <w:bidi w:val="0"/>
        <w:adjustRightInd w:val="0"/>
        <w:snapToGrid w:val="0"/>
        <w:spacing w:line="640" w:lineRule="exact"/>
        <w:ind w:firstLine="640" w:firstLineChars="200"/>
        <w:jc w:val="both"/>
        <w:textAlignment w:val="auto"/>
        <w:rPr>
          <w:rFonts w:hint="eastAsia" w:ascii="方正公文仿宋" w:hAnsi="方正公文仿宋" w:eastAsia="方正公文仿宋" w:cs="方正公文仿宋"/>
          <w:b w:val="0"/>
          <w:bCs w:val="0"/>
          <w:color w:val="auto"/>
          <w:sz w:val="32"/>
          <w:szCs w:val="32"/>
          <w:highlight w:val="none"/>
          <w:lang w:val="en-US" w:eastAsia="zh-CN"/>
        </w:rPr>
      </w:pPr>
    </w:p>
    <w:p w14:paraId="625E9FEE">
      <w:pPr>
        <w:keepNext w:val="0"/>
        <w:keepLines w:val="0"/>
        <w:pageBreakBefore w:val="0"/>
        <w:widowControl w:val="0"/>
        <w:suppressLineNumbers w:val="0"/>
        <w:kinsoku/>
        <w:wordWrap/>
        <w:overflowPunct/>
        <w:topLinePunct w:val="0"/>
        <w:autoSpaceDE/>
        <w:autoSpaceDN/>
        <w:bidi w:val="0"/>
        <w:adjustRightInd w:val="0"/>
        <w:snapToGrid w:val="0"/>
        <w:spacing w:line="640" w:lineRule="exact"/>
        <w:ind w:firstLine="640" w:firstLineChars="200"/>
        <w:jc w:val="both"/>
        <w:textAlignment w:val="auto"/>
        <w:rPr>
          <w:rFonts w:hint="eastAsia" w:ascii="方正公文仿宋" w:hAnsi="方正公文仿宋" w:eastAsia="方正公文仿宋" w:cs="方正公文仿宋"/>
          <w:b w:val="0"/>
          <w:bCs w:val="0"/>
          <w:color w:val="auto"/>
          <w:sz w:val="32"/>
          <w:szCs w:val="32"/>
          <w:highlight w:val="none"/>
          <w:lang w:val="en-US" w:eastAsia="zh-CN"/>
        </w:rPr>
      </w:pPr>
      <w:r>
        <w:rPr>
          <w:rFonts w:hint="eastAsia" w:ascii="方正公文仿宋" w:hAnsi="方正公文仿宋" w:eastAsia="方正公文仿宋" w:cs="方正公文仿宋"/>
          <w:b w:val="0"/>
          <w:bCs w:val="0"/>
          <w:color w:val="auto"/>
          <w:sz w:val="32"/>
          <w:szCs w:val="32"/>
          <w:highlight w:val="none"/>
          <w:lang w:val="en-US" w:eastAsia="zh-CN"/>
        </w:rPr>
        <w:t>为进一步支持我省国家清洁能源产业高地建设，切实做好自然资源要素支撑保障，着力助推全省经济社会高质量发展，根据《自然资源部办公厅 国家林业和草原局办公室 国家能源局综合司关于支持光伏发电产业发展规范用地管理有关工作的通知》（自然资办发〔2023〕12号）等有关要求，结合我省实际，现就支持光伏、光热、风力发电、抽水蓄能及电网建设项目（以下简称新能源项目）用地，制定如下措施。</w:t>
      </w:r>
    </w:p>
    <w:p w14:paraId="3B094DE0">
      <w:pPr>
        <w:keepNext w:val="0"/>
        <w:keepLines w:val="0"/>
        <w:pageBreakBefore w:val="0"/>
        <w:widowControl w:val="0"/>
        <w:suppressLineNumbers w:val="0"/>
        <w:kinsoku/>
        <w:wordWrap/>
        <w:overflowPunct/>
        <w:topLinePunct w:val="0"/>
        <w:autoSpaceDE/>
        <w:autoSpaceDN/>
        <w:bidi w:val="0"/>
        <w:adjustRightInd w:val="0"/>
        <w:snapToGrid w:val="0"/>
        <w:spacing w:line="640" w:lineRule="exact"/>
        <w:ind w:firstLine="640" w:firstLineChars="200"/>
        <w:jc w:val="both"/>
        <w:textAlignment w:val="auto"/>
        <w:rPr>
          <w:rFonts w:hint="eastAsia" w:ascii="方正公文黑体" w:hAnsi="方正公文黑体" w:eastAsia="方正公文黑体" w:cs="方正公文黑体"/>
          <w:b w:val="0"/>
          <w:bCs w:val="0"/>
          <w:color w:val="auto"/>
          <w:sz w:val="32"/>
          <w:szCs w:val="32"/>
          <w:highlight w:val="none"/>
          <w:lang w:val="en-US" w:eastAsia="zh-CN"/>
        </w:rPr>
      </w:pPr>
      <w:r>
        <w:rPr>
          <w:rFonts w:hint="eastAsia" w:ascii="方正公文黑体" w:hAnsi="方正公文黑体" w:eastAsia="方正公文黑体" w:cs="方正公文黑体"/>
          <w:b w:val="0"/>
          <w:bCs w:val="0"/>
          <w:color w:val="auto"/>
          <w:sz w:val="32"/>
          <w:szCs w:val="32"/>
          <w:highlight w:val="none"/>
          <w:lang w:val="en-US" w:eastAsia="zh-CN"/>
        </w:rPr>
        <w:t>一、加强规划引领，优化项目布局</w:t>
      </w:r>
    </w:p>
    <w:p w14:paraId="73AB5B52">
      <w:pPr>
        <w:keepNext w:val="0"/>
        <w:keepLines w:val="0"/>
        <w:pageBreakBefore w:val="0"/>
        <w:widowControl w:val="0"/>
        <w:suppressLineNumbers w:val="0"/>
        <w:kinsoku/>
        <w:wordWrap/>
        <w:overflowPunct/>
        <w:topLinePunct w:val="0"/>
        <w:autoSpaceDE/>
        <w:autoSpaceDN/>
        <w:bidi w:val="0"/>
        <w:adjustRightInd w:val="0"/>
        <w:snapToGrid w:val="0"/>
        <w:spacing w:line="640" w:lineRule="exact"/>
        <w:ind w:firstLine="643" w:firstLineChars="200"/>
        <w:jc w:val="both"/>
        <w:textAlignment w:val="auto"/>
        <w:rPr>
          <w:rFonts w:hint="eastAsia" w:ascii="方正公文仿宋" w:hAnsi="方正公文仿宋" w:eastAsia="方正公文仿宋" w:cs="方正公文仿宋"/>
          <w:b w:val="0"/>
          <w:bCs w:val="0"/>
          <w:color w:val="auto"/>
          <w:sz w:val="32"/>
          <w:szCs w:val="32"/>
          <w:highlight w:val="none"/>
          <w:lang w:val="en-US" w:eastAsia="zh-CN"/>
        </w:rPr>
      </w:pPr>
      <w:r>
        <w:rPr>
          <w:rFonts w:hint="eastAsia" w:ascii="方正公文仿宋" w:hAnsi="方正公文仿宋" w:eastAsia="方正公文仿宋" w:cs="方正公文仿宋"/>
          <w:b/>
          <w:bCs/>
          <w:color w:val="auto"/>
          <w:sz w:val="32"/>
          <w:szCs w:val="32"/>
          <w:highlight w:val="none"/>
          <w:lang w:val="en-US" w:eastAsia="zh-CN"/>
        </w:rPr>
        <w:t>（一）强化规划引领。</w:t>
      </w:r>
      <w:r>
        <w:rPr>
          <w:rFonts w:hint="eastAsia" w:ascii="方正公文仿宋" w:hAnsi="方正公文仿宋" w:eastAsia="方正公文仿宋" w:cs="方正公文仿宋"/>
          <w:b w:val="0"/>
          <w:bCs w:val="0"/>
          <w:color w:val="auto"/>
          <w:sz w:val="32"/>
          <w:szCs w:val="32"/>
          <w:highlight w:val="none"/>
          <w:lang w:val="en-US" w:eastAsia="zh-CN"/>
        </w:rPr>
        <w:t>各市州要做好新能源项目相关专项规划与国土空间规划的衔接，在符合“三区三线”管控规则的前提下，市州、县、乡镇级国土空间总体规划中将新能源项目列入重点建设项目清单，并统筹纳入国土空间规划“一张图”。在各级国土空间规划正式批准之前的过渡期，有批准权限的人民政府自然资源主管部门已经组织审查通过的国土空间总体规划，作为审批项目新增用地的规划依据。</w:t>
      </w:r>
    </w:p>
    <w:p w14:paraId="3589A535">
      <w:pPr>
        <w:keepNext w:val="0"/>
        <w:keepLines w:val="0"/>
        <w:pageBreakBefore w:val="0"/>
        <w:widowControl w:val="0"/>
        <w:suppressLineNumbers w:val="0"/>
        <w:kinsoku/>
        <w:wordWrap/>
        <w:overflowPunct/>
        <w:topLinePunct w:val="0"/>
        <w:autoSpaceDE/>
        <w:autoSpaceDN/>
        <w:bidi w:val="0"/>
        <w:adjustRightInd w:val="0"/>
        <w:snapToGrid w:val="0"/>
        <w:spacing w:line="640" w:lineRule="exact"/>
        <w:ind w:firstLine="643" w:firstLineChars="200"/>
        <w:jc w:val="both"/>
        <w:textAlignment w:val="auto"/>
        <w:rPr>
          <w:rFonts w:hint="eastAsia" w:ascii="方正公文仿宋" w:hAnsi="方正公文仿宋" w:eastAsia="方正公文仿宋" w:cs="方正公文仿宋"/>
          <w:b w:val="0"/>
          <w:bCs w:val="0"/>
          <w:color w:val="auto"/>
          <w:sz w:val="32"/>
          <w:szCs w:val="32"/>
          <w:highlight w:val="none"/>
          <w:lang w:val="en-US" w:eastAsia="zh-CN"/>
        </w:rPr>
      </w:pPr>
      <w:r>
        <w:rPr>
          <w:rFonts w:hint="eastAsia" w:ascii="方正公文仿宋" w:hAnsi="方正公文仿宋" w:eastAsia="方正公文仿宋" w:cs="方正公文仿宋"/>
          <w:b/>
          <w:bCs/>
          <w:color w:val="auto"/>
          <w:sz w:val="32"/>
          <w:szCs w:val="32"/>
          <w:highlight w:val="none"/>
          <w:lang w:val="en-US" w:eastAsia="zh-CN"/>
        </w:rPr>
        <w:t>（二）引导项目合理布局</w:t>
      </w:r>
      <w:r>
        <w:rPr>
          <w:rFonts w:hint="eastAsia" w:ascii="方正公文仿宋" w:hAnsi="方正公文仿宋" w:eastAsia="方正公文仿宋" w:cs="方正公文仿宋"/>
          <w:b w:val="0"/>
          <w:bCs w:val="0"/>
          <w:color w:val="auto"/>
          <w:kern w:val="0"/>
          <w:sz w:val="32"/>
          <w:szCs w:val="32"/>
          <w:highlight w:val="none"/>
          <w:lang w:val="en-US" w:eastAsia="zh-CN" w:bidi="ar"/>
        </w:rPr>
        <w:t>。</w:t>
      </w:r>
      <w:r>
        <w:rPr>
          <w:rFonts w:hint="eastAsia" w:ascii="方正公文仿宋" w:hAnsi="方正公文仿宋" w:eastAsia="方正公文仿宋" w:cs="方正公文仿宋"/>
          <w:b w:val="0"/>
          <w:bCs w:val="0"/>
          <w:color w:val="auto"/>
          <w:sz w:val="32"/>
          <w:szCs w:val="32"/>
          <w:highlight w:val="none"/>
          <w:lang w:val="en-US" w:eastAsia="zh-CN"/>
        </w:rPr>
        <w:t>新建、扩建新能源项目</w:t>
      </w:r>
      <w:r>
        <w:rPr>
          <w:rFonts w:hint="eastAsia" w:ascii="方正公文仿宋" w:hAnsi="方正公文仿宋" w:eastAsia="方正公文仿宋" w:cs="方正公文仿宋"/>
          <w:b w:val="0"/>
          <w:bCs w:val="0"/>
          <w:i w:val="0"/>
          <w:caps w:val="0"/>
          <w:color w:val="auto"/>
          <w:spacing w:val="0"/>
          <w:sz w:val="32"/>
          <w:szCs w:val="32"/>
          <w:highlight w:val="none"/>
          <w:shd w:val="clear" w:color="auto" w:fill="FFFFFF"/>
          <w:lang w:eastAsia="zh-CN"/>
        </w:rPr>
        <w:t>选址应</w:t>
      </w:r>
      <w:r>
        <w:rPr>
          <w:rFonts w:hint="eastAsia" w:ascii="方正公文仿宋" w:hAnsi="方正公文仿宋" w:eastAsia="方正公文仿宋" w:cs="方正公文仿宋"/>
          <w:b w:val="0"/>
          <w:bCs w:val="0"/>
          <w:i w:val="0"/>
          <w:caps w:val="0"/>
          <w:color w:val="auto"/>
          <w:spacing w:val="0"/>
          <w:sz w:val="32"/>
          <w:szCs w:val="32"/>
          <w:highlight w:val="none"/>
          <w:shd w:val="clear" w:color="auto" w:fill="FFFFFF"/>
          <w:lang w:val="en-US" w:eastAsia="zh-CN"/>
        </w:rPr>
        <w:t>避让生态保护红线和各级各类自然保护地、天然林地、地质灾害易发区，确需占用的应</w:t>
      </w:r>
      <w:r>
        <w:rPr>
          <w:rFonts w:hint="eastAsia" w:ascii="方正公文仿宋" w:hAnsi="方正公文仿宋" w:eastAsia="方正公文仿宋" w:cs="方正公文仿宋"/>
          <w:b w:val="0"/>
          <w:bCs w:val="0"/>
          <w:i w:val="0"/>
          <w:caps w:val="0"/>
          <w:color w:val="auto"/>
          <w:spacing w:val="0"/>
          <w:sz w:val="32"/>
          <w:szCs w:val="32"/>
          <w:highlight w:val="none"/>
          <w:shd w:val="clear" w:color="auto" w:fill="FFFFFF"/>
          <w:lang w:eastAsia="zh-CN"/>
        </w:rPr>
        <w:t>符合</w:t>
      </w:r>
      <w:r>
        <w:rPr>
          <w:rFonts w:hint="eastAsia" w:ascii="方正公文仿宋" w:hAnsi="方正公文仿宋" w:eastAsia="方正公文仿宋" w:cs="方正公文仿宋"/>
          <w:b w:val="0"/>
          <w:bCs w:val="0"/>
          <w:i w:val="0"/>
          <w:caps w:val="0"/>
          <w:color w:val="auto"/>
          <w:spacing w:val="0"/>
          <w:sz w:val="32"/>
          <w:szCs w:val="32"/>
          <w:highlight w:val="none"/>
          <w:shd w:val="clear" w:color="auto" w:fill="FFFFFF"/>
          <w:lang w:val="en-US" w:eastAsia="zh-CN"/>
        </w:rPr>
        <w:t>生态保护红线管控和</w:t>
      </w:r>
      <w:r>
        <w:rPr>
          <w:rFonts w:hint="eastAsia" w:ascii="方正公文仿宋" w:hAnsi="方正公文仿宋" w:eastAsia="方正公文仿宋" w:cs="方正公文仿宋"/>
          <w:b w:val="0"/>
          <w:bCs w:val="0"/>
          <w:i w:val="0"/>
          <w:caps w:val="0"/>
          <w:color w:val="auto"/>
          <w:spacing w:val="0"/>
          <w:sz w:val="32"/>
          <w:szCs w:val="32"/>
          <w:highlight w:val="none"/>
          <w:shd w:val="clear" w:color="auto" w:fill="FFFFFF"/>
          <w:lang w:eastAsia="zh-CN"/>
        </w:rPr>
        <w:t>自然保护地相关法规</w:t>
      </w:r>
      <w:r>
        <w:rPr>
          <w:rFonts w:hint="eastAsia" w:ascii="方正公文仿宋" w:hAnsi="方正公文仿宋" w:eastAsia="方正公文仿宋" w:cs="方正公文仿宋"/>
          <w:b w:val="0"/>
          <w:bCs w:val="0"/>
          <w:i w:val="0"/>
          <w:caps w:val="0"/>
          <w:color w:val="auto"/>
          <w:spacing w:val="0"/>
          <w:sz w:val="32"/>
          <w:szCs w:val="32"/>
          <w:highlight w:val="none"/>
          <w:shd w:val="clear" w:color="auto" w:fill="FFFFFF"/>
          <w:lang w:val="en-US" w:eastAsia="zh-CN"/>
        </w:rPr>
        <w:t>、</w:t>
      </w:r>
      <w:r>
        <w:rPr>
          <w:rFonts w:hint="eastAsia" w:ascii="方正公文仿宋" w:hAnsi="方正公文仿宋" w:eastAsia="方正公文仿宋" w:cs="方正公文仿宋"/>
          <w:b w:val="0"/>
          <w:bCs w:val="0"/>
          <w:i w:val="0"/>
          <w:caps w:val="0"/>
          <w:color w:val="auto"/>
          <w:spacing w:val="0"/>
          <w:sz w:val="32"/>
          <w:szCs w:val="32"/>
          <w:highlight w:val="none"/>
          <w:shd w:val="clear" w:color="auto" w:fill="FFFFFF"/>
          <w:lang w:eastAsia="zh-CN"/>
        </w:rPr>
        <w:t>政策要求。光伏、光热发电项目应避让国家沙化土地封禁保护区（</w:t>
      </w:r>
      <w:r>
        <w:rPr>
          <w:rFonts w:hint="eastAsia" w:ascii="方正公文仿宋" w:hAnsi="方正公文仿宋" w:eastAsia="方正公文仿宋" w:cs="方正公文仿宋"/>
          <w:b w:val="0"/>
          <w:bCs w:val="0"/>
          <w:color w:val="auto"/>
          <w:sz w:val="32"/>
          <w:szCs w:val="32"/>
          <w:highlight w:val="none"/>
          <w:lang w:val="en-US" w:eastAsia="zh-CN"/>
        </w:rPr>
        <w:t>电网项目</w:t>
      </w:r>
      <w:r>
        <w:rPr>
          <w:rFonts w:hint="eastAsia" w:ascii="方正公文仿宋" w:hAnsi="方正公文仿宋" w:eastAsia="方正公文仿宋" w:cs="方正公文仿宋"/>
          <w:b w:val="0"/>
          <w:bCs w:val="0"/>
          <w:i w:val="0"/>
          <w:caps w:val="0"/>
          <w:color w:val="auto"/>
          <w:spacing w:val="0"/>
          <w:sz w:val="32"/>
          <w:szCs w:val="32"/>
          <w:highlight w:val="none"/>
          <w:shd w:val="clear" w:color="auto" w:fill="FFFFFF"/>
          <w:lang w:eastAsia="zh-CN"/>
        </w:rPr>
        <w:t>输配电线路允许穿越国家沙化土地封禁保护区）。严禁在国家相关法律法规和规划明确禁止的区域发展各类新能源项目。新建、扩建</w:t>
      </w:r>
      <w:r>
        <w:rPr>
          <w:rFonts w:hint="eastAsia" w:ascii="方正公文仿宋" w:hAnsi="方正公文仿宋" w:eastAsia="方正公文仿宋" w:cs="方正公文仿宋"/>
          <w:b w:val="0"/>
          <w:bCs w:val="0"/>
          <w:color w:val="auto"/>
          <w:sz w:val="32"/>
          <w:szCs w:val="32"/>
          <w:highlight w:val="none"/>
          <w:lang w:val="en-US" w:eastAsia="zh-CN"/>
        </w:rPr>
        <w:t>光伏发电项目</w:t>
      </w:r>
      <w:r>
        <w:rPr>
          <w:rFonts w:hint="eastAsia" w:ascii="方正公文仿宋" w:hAnsi="方正公文仿宋" w:eastAsia="方正公文仿宋" w:cs="方正公文仿宋"/>
          <w:b w:val="0"/>
          <w:bCs w:val="0"/>
          <w:i w:val="0"/>
          <w:caps w:val="0"/>
          <w:color w:val="auto"/>
          <w:spacing w:val="0"/>
          <w:sz w:val="32"/>
          <w:szCs w:val="32"/>
          <w:highlight w:val="none"/>
          <w:shd w:val="clear" w:color="auto" w:fill="FFFFFF"/>
          <w:lang w:eastAsia="zh-CN"/>
        </w:rPr>
        <w:t>，一律不得占用永久基本农田、基本草原、Ⅰ级保护林</w:t>
      </w:r>
      <w:r>
        <w:rPr>
          <w:rFonts w:hint="eastAsia" w:ascii="方正公文仿宋" w:hAnsi="方正公文仿宋" w:eastAsia="方正公文仿宋" w:cs="方正公文仿宋"/>
          <w:b w:val="0"/>
          <w:bCs w:val="0"/>
          <w:i w:val="0"/>
          <w:caps w:val="0"/>
          <w:color w:val="auto"/>
          <w:spacing w:val="0"/>
          <w:sz w:val="32"/>
          <w:szCs w:val="32"/>
          <w:highlight w:val="none"/>
          <w:shd w:val="clear" w:color="auto" w:fill="FFFFFF"/>
          <w:lang w:val="en-US" w:eastAsia="zh-CN"/>
        </w:rPr>
        <w:t>地。对纳入国家级规划的其他项目，确实无法避让占用</w:t>
      </w:r>
      <w:r>
        <w:rPr>
          <w:rFonts w:hint="eastAsia" w:ascii="方正公文仿宋" w:hAnsi="方正公文仿宋" w:eastAsia="方正公文仿宋" w:cs="方正公文仿宋"/>
          <w:b w:val="0"/>
          <w:bCs w:val="0"/>
          <w:i w:val="0"/>
          <w:caps w:val="0"/>
          <w:color w:val="auto"/>
          <w:spacing w:val="0"/>
          <w:sz w:val="32"/>
          <w:szCs w:val="32"/>
          <w:highlight w:val="none"/>
          <w:shd w:val="clear" w:color="auto" w:fill="FFFFFF"/>
          <w:lang w:eastAsia="zh-CN"/>
        </w:rPr>
        <w:t>永久基本农田、</w:t>
      </w:r>
      <w:r>
        <w:rPr>
          <w:rFonts w:hint="eastAsia" w:ascii="方正公文仿宋" w:hAnsi="方正公文仿宋" w:eastAsia="方正公文仿宋" w:cs="方正公文仿宋"/>
          <w:b w:val="0"/>
          <w:bCs w:val="0"/>
          <w:i w:val="0"/>
          <w:caps w:val="0"/>
          <w:color w:val="auto"/>
          <w:spacing w:val="0"/>
          <w:sz w:val="32"/>
          <w:szCs w:val="32"/>
          <w:highlight w:val="none"/>
          <w:shd w:val="clear" w:color="auto" w:fill="FFFFFF"/>
          <w:lang w:val="en-US" w:eastAsia="zh-CN"/>
        </w:rPr>
        <w:t>基本草原的，由自然资源、林草主管部门按各自职责依法依规进行审核。凡涉及占用耕地的，严格</w:t>
      </w:r>
      <w:r>
        <w:rPr>
          <w:rFonts w:hint="eastAsia" w:ascii="方正公文仿宋" w:hAnsi="方正公文仿宋" w:eastAsia="方正公文仿宋" w:cs="方正公文仿宋"/>
          <w:b w:val="0"/>
          <w:bCs w:val="0"/>
          <w:i w:val="0"/>
          <w:caps w:val="0"/>
          <w:color w:val="auto"/>
          <w:spacing w:val="0"/>
          <w:sz w:val="32"/>
          <w:szCs w:val="32"/>
          <w:highlight w:val="none"/>
          <w:shd w:val="clear" w:color="auto" w:fill="FFFFFF"/>
          <w:lang w:eastAsia="zh-CN"/>
        </w:rPr>
        <w:t>按规定落实耕地</w:t>
      </w:r>
      <w:r>
        <w:rPr>
          <w:rFonts w:hint="eastAsia" w:ascii="方正公文仿宋" w:hAnsi="方正公文仿宋" w:eastAsia="方正公文仿宋" w:cs="方正公文仿宋"/>
          <w:b w:val="0"/>
          <w:bCs w:val="0"/>
          <w:i w:val="0"/>
          <w:caps w:val="0"/>
          <w:color w:val="auto"/>
          <w:spacing w:val="0"/>
          <w:sz w:val="32"/>
          <w:szCs w:val="32"/>
          <w:highlight w:val="none"/>
          <w:shd w:val="clear" w:color="auto" w:fill="FFFFFF"/>
          <w:lang w:val="en-US" w:eastAsia="zh-CN"/>
        </w:rPr>
        <w:t>占补平衡；凡涉及占用林、草地的，</w:t>
      </w:r>
      <w:r>
        <w:rPr>
          <w:rFonts w:hint="eastAsia" w:ascii="方正公文仿宋" w:hAnsi="方正公文仿宋" w:eastAsia="方正公文仿宋" w:cs="方正公文仿宋"/>
          <w:b w:val="0"/>
          <w:bCs w:val="0"/>
          <w:color w:val="auto"/>
          <w:sz w:val="32"/>
          <w:szCs w:val="32"/>
          <w:highlight w:val="none"/>
          <w:lang w:val="en-US" w:eastAsia="zh-CN"/>
        </w:rPr>
        <w:t>依法依规办理相关审核审批手续。</w:t>
      </w:r>
    </w:p>
    <w:p w14:paraId="5DF015A6">
      <w:pPr>
        <w:keepNext w:val="0"/>
        <w:keepLines w:val="0"/>
        <w:pageBreakBefore w:val="0"/>
        <w:widowControl w:val="0"/>
        <w:suppressLineNumbers w:val="0"/>
        <w:kinsoku/>
        <w:wordWrap/>
        <w:overflowPunct/>
        <w:topLinePunct w:val="0"/>
        <w:autoSpaceDE/>
        <w:autoSpaceDN/>
        <w:bidi w:val="0"/>
        <w:adjustRightInd w:val="0"/>
        <w:snapToGrid w:val="0"/>
        <w:spacing w:line="640" w:lineRule="exact"/>
        <w:ind w:firstLine="640" w:firstLineChars="200"/>
        <w:jc w:val="both"/>
        <w:textAlignment w:val="auto"/>
        <w:rPr>
          <w:rFonts w:hint="eastAsia" w:ascii="方正公文黑体" w:hAnsi="方正公文黑体" w:eastAsia="方正公文黑体" w:cs="方正公文黑体"/>
          <w:b w:val="0"/>
          <w:bCs w:val="0"/>
          <w:color w:val="auto"/>
          <w:sz w:val="32"/>
          <w:szCs w:val="32"/>
          <w:highlight w:val="none"/>
          <w:lang w:val="en-US" w:eastAsia="zh-CN"/>
        </w:rPr>
      </w:pPr>
      <w:r>
        <w:rPr>
          <w:rFonts w:hint="eastAsia" w:ascii="方正公文黑体" w:hAnsi="方正公文黑体" w:eastAsia="方正公文黑体" w:cs="方正公文黑体"/>
          <w:b w:val="0"/>
          <w:bCs w:val="0"/>
          <w:color w:val="auto"/>
          <w:sz w:val="32"/>
          <w:szCs w:val="32"/>
          <w:highlight w:val="none"/>
          <w:lang w:val="en-US" w:eastAsia="zh-CN"/>
        </w:rPr>
        <w:t>二、强化要素保障，规范用地管理</w:t>
      </w:r>
    </w:p>
    <w:p w14:paraId="0075AFD4">
      <w:pPr>
        <w:keepNext w:val="0"/>
        <w:keepLines w:val="0"/>
        <w:pageBreakBefore w:val="0"/>
        <w:widowControl w:val="0"/>
        <w:suppressLineNumbers w:val="0"/>
        <w:kinsoku/>
        <w:wordWrap/>
        <w:overflowPunct/>
        <w:topLinePunct w:val="0"/>
        <w:autoSpaceDE/>
        <w:autoSpaceDN/>
        <w:bidi w:val="0"/>
        <w:adjustRightInd w:val="0"/>
        <w:snapToGrid w:val="0"/>
        <w:spacing w:line="640" w:lineRule="exact"/>
        <w:ind w:firstLine="643" w:firstLineChars="200"/>
        <w:jc w:val="both"/>
        <w:textAlignment w:val="auto"/>
        <w:rPr>
          <w:rFonts w:hint="eastAsia" w:ascii="方正公文仿宋" w:hAnsi="方正公文仿宋" w:eastAsia="方正公文仿宋" w:cs="方正公文仿宋"/>
          <w:b w:val="0"/>
          <w:bCs w:val="0"/>
          <w:color w:val="auto"/>
          <w:sz w:val="32"/>
          <w:szCs w:val="32"/>
          <w:highlight w:val="none"/>
          <w:lang w:val="en-US" w:eastAsia="zh-CN"/>
        </w:rPr>
      </w:pPr>
      <w:r>
        <w:rPr>
          <w:rFonts w:hint="eastAsia" w:ascii="方正公文仿宋" w:hAnsi="方正公文仿宋" w:eastAsia="方正公文仿宋" w:cs="方正公文仿宋"/>
          <w:b/>
          <w:bCs/>
          <w:color w:val="auto"/>
          <w:sz w:val="32"/>
          <w:szCs w:val="32"/>
          <w:highlight w:val="none"/>
          <w:lang w:val="en-US" w:eastAsia="zh-CN"/>
        </w:rPr>
        <w:t>（三）强化用地计划保障</w:t>
      </w:r>
      <w:r>
        <w:rPr>
          <w:rFonts w:hint="eastAsia" w:ascii="方正公文仿宋" w:hAnsi="方正公文仿宋" w:eastAsia="方正公文仿宋" w:cs="方正公文仿宋"/>
          <w:b w:val="0"/>
          <w:bCs w:val="0"/>
          <w:color w:val="auto"/>
          <w:sz w:val="32"/>
          <w:szCs w:val="32"/>
          <w:highlight w:val="none"/>
          <w:lang w:val="en-US" w:eastAsia="zh-CN"/>
        </w:rPr>
        <w:t>。坚持“项目跟着规划走，要素跟着项目走”，以真实有效的项目落地作为配置建设用地计划指标的依据，切实保障有效投资用地需求。对新能源项目使用新增建设用地的，新增建设用地计划指标由省级统筹保障。</w:t>
      </w:r>
    </w:p>
    <w:p w14:paraId="6A238296">
      <w:pPr>
        <w:keepNext w:val="0"/>
        <w:keepLines w:val="0"/>
        <w:pageBreakBefore w:val="0"/>
        <w:widowControl w:val="0"/>
        <w:suppressLineNumbers w:val="0"/>
        <w:kinsoku/>
        <w:wordWrap/>
        <w:overflowPunct/>
        <w:topLinePunct w:val="0"/>
        <w:autoSpaceDE/>
        <w:autoSpaceDN/>
        <w:bidi w:val="0"/>
        <w:adjustRightInd w:val="0"/>
        <w:snapToGrid w:val="0"/>
        <w:spacing w:line="640" w:lineRule="exact"/>
        <w:ind w:firstLine="643" w:firstLineChars="200"/>
        <w:jc w:val="left"/>
        <w:textAlignment w:val="auto"/>
        <w:rPr>
          <w:rFonts w:hint="eastAsia" w:ascii="方正公文仿宋" w:hAnsi="方正公文仿宋" w:eastAsia="方正公文仿宋" w:cs="方正公文仿宋"/>
          <w:b w:val="0"/>
          <w:bCs w:val="0"/>
          <w:i w:val="0"/>
          <w:caps w:val="0"/>
          <w:color w:val="auto"/>
          <w:spacing w:val="0"/>
          <w:sz w:val="32"/>
          <w:szCs w:val="32"/>
          <w:highlight w:val="none"/>
          <w:u w:val="none"/>
          <w:shd w:val="clear" w:color="auto" w:fill="FFFFFF"/>
          <w:lang w:val="en-US" w:eastAsia="zh-CN"/>
        </w:rPr>
      </w:pPr>
      <w:r>
        <w:rPr>
          <w:rFonts w:hint="eastAsia" w:ascii="方正公文仿宋" w:hAnsi="方正公文仿宋" w:eastAsia="方正公文仿宋" w:cs="方正公文仿宋"/>
          <w:b/>
          <w:bCs/>
          <w:color w:val="auto"/>
          <w:kern w:val="0"/>
          <w:sz w:val="32"/>
          <w:szCs w:val="32"/>
          <w:highlight w:val="none"/>
          <w:lang w:val="en-US" w:eastAsia="zh-CN" w:bidi="ar"/>
        </w:rPr>
        <w:t>（四）促进新能源项目复合利用</w:t>
      </w:r>
      <w:r>
        <w:rPr>
          <w:rFonts w:hint="eastAsia" w:ascii="方正公文仿宋" w:hAnsi="方正公文仿宋" w:eastAsia="方正公文仿宋" w:cs="方正公文仿宋"/>
          <w:b w:val="0"/>
          <w:bCs w:val="0"/>
          <w:color w:val="auto"/>
          <w:kern w:val="0"/>
          <w:sz w:val="32"/>
          <w:szCs w:val="32"/>
          <w:highlight w:val="none"/>
          <w:lang w:val="en-US" w:eastAsia="zh-CN" w:bidi="ar"/>
        </w:rPr>
        <w:t>。</w:t>
      </w:r>
      <w:r>
        <w:rPr>
          <w:rFonts w:hint="eastAsia" w:ascii="方正公文仿宋" w:hAnsi="方正公文仿宋" w:eastAsia="方正公文仿宋" w:cs="方正公文仿宋"/>
          <w:b w:val="0"/>
          <w:bCs w:val="0"/>
          <w:i w:val="0"/>
          <w:caps w:val="0"/>
          <w:color w:val="auto"/>
          <w:spacing w:val="0"/>
          <w:kern w:val="2"/>
          <w:sz w:val="32"/>
          <w:szCs w:val="32"/>
          <w:highlight w:val="none"/>
          <w:u w:val="none"/>
          <w:shd w:val="clear" w:color="auto" w:fill="FFFFFF"/>
          <w:lang w:val="en-US" w:eastAsia="zh-CN" w:bidi="ar-SA"/>
        </w:rPr>
        <w:t>光伏方阵和配套设施用地实行分类管理。</w:t>
      </w:r>
      <w:r>
        <w:rPr>
          <w:rFonts w:hint="eastAsia" w:ascii="方正公文仿宋" w:hAnsi="方正公文仿宋" w:eastAsia="方正公文仿宋" w:cs="方正公文仿宋"/>
          <w:b w:val="0"/>
          <w:bCs w:val="0"/>
          <w:color w:val="auto"/>
          <w:sz w:val="32"/>
          <w:szCs w:val="32"/>
          <w:highlight w:val="none"/>
          <w:u w:val="none"/>
          <w:lang w:val="en-US" w:eastAsia="zh-CN"/>
        </w:rPr>
        <w:t>光伏方阵用地</w:t>
      </w:r>
      <w:r>
        <w:rPr>
          <w:rFonts w:hint="eastAsia" w:ascii="方正公文仿宋" w:hAnsi="方正公文仿宋" w:eastAsia="方正公文仿宋" w:cs="方正公文仿宋"/>
          <w:b w:val="0"/>
          <w:bCs w:val="0"/>
          <w:i w:val="0"/>
          <w:caps w:val="0"/>
          <w:color w:val="auto"/>
          <w:spacing w:val="0"/>
          <w:sz w:val="32"/>
          <w:szCs w:val="32"/>
          <w:highlight w:val="none"/>
          <w:shd w:val="clear" w:color="auto" w:fill="FFFFFF"/>
          <w:lang w:eastAsia="zh-CN"/>
        </w:rPr>
        <w:t>不</w:t>
      </w:r>
      <w:r>
        <w:rPr>
          <w:rFonts w:hint="eastAsia" w:ascii="方正公文仿宋" w:hAnsi="方正公文仿宋" w:eastAsia="方正公文仿宋" w:cs="方正公文仿宋"/>
          <w:b w:val="0"/>
          <w:bCs w:val="0"/>
          <w:color w:val="auto"/>
          <w:sz w:val="32"/>
          <w:szCs w:val="32"/>
          <w:highlight w:val="none"/>
          <w:lang w:val="en-US" w:eastAsia="zh-CN"/>
        </w:rPr>
        <w:t>得占用耕地，占用其他农用地的，应根据实际合理控制，节约集约用地，要避免对生态和农业生产造成影响，鼓励与土地权利人以租赁等方式取得，双方签订租赁协议和</w:t>
      </w:r>
      <w:r>
        <w:rPr>
          <w:rFonts w:hint="eastAsia" w:ascii="方正公文仿宋" w:hAnsi="方正公文仿宋" w:eastAsia="方正公文仿宋" w:cs="方正公文仿宋"/>
          <w:b w:val="0"/>
          <w:bCs w:val="0"/>
          <w:i w:val="0"/>
          <w:caps w:val="0"/>
          <w:color w:val="auto"/>
          <w:spacing w:val="0"/>
          <w:sz w:val="32"/>
          <w:szCs w:val="32"/>
          <w:highlight w:val="none"/>
          <w:shd w:val="clear" w:color="auto" w:fill="FFFFFF"/>
        </w:rPr>
        <w:t>补偿协议，报当地县级自然资源和林草主管部门备案</w:t>
      </w:r>
      <w:r>
        <w:rPr>
          <w:rFonts w:hint="eastAsia" w:ascii="方正公文仿宋" w:hAnsi="方正公文仿宋" w:eastAsia="方正公文仿宋" w:cs="方正公文仿宋"/>
          <w:b w:val="0"/>
          <w:bCs w:val="0"/>
          <w:i w:val="0"/>
          <w:caps w:val="0"/>
          <w:color w:val="auto"/>
          <w:spacing w:val="0"/>
          <w:sz w:val="32"/>
          <w:szCs w:val="32"/>
          <w:highlight w:val="none"/>
          <w:shd w:val="clear" w:color="auto" w:fill="FFFFFF"/>
          <w:lang w:eastAsia="zh-CN"/>
        </w:rPr>
        <w:t>，</w:t>
      </w:r>
      <w:r>
        <w:rPr>
          <w:rFonts w:hint="eastAsia" w:ascii="方正公文仿宋" w:hAnsi="方正公文仿宋" w:eastAsia="方正公文仿宋" w:cs="方正公文仿宋"/>
          <w:b w:val="0"/>
          <w:bCs w:val="0"/>
          <w:color w:val="auto"/>
          <w:sz w:val="32"/>
          <w:szCs w:val="32"/>
          <w:highlight w:val="none"/>
          <w:lang w:val="en-US" w:eastAsia="zh-CN"/>
        </w:rPr>
        <w:t>不需按非农建设用地审批。光伏方阵使用未利用土地的，对不占压土地、不改变地表形态的用地部分，可按原地类认定，不改变土地用途，须在年度土地变更调查时作出标注。光伏发电项目配套设施用</w:t>
      </w:r>
      <w:r>
        <w:rPr>
          <w:rFonts w:hint="eastAsia" w:ascii="方正公文仿宋" w:hAnsi="方正公文仿宋" w:eastAsia="方正公文仿宋" w:cs="方正公文仿宋"/>
          <w:b w:val="0"/>
          <w:bCs w:val="0"/>
          <w:i w:val="0"/>
          <w:caps w:val="0"/>
          <w:color w:val="auto"/>
          <w:spacing w:val="0"/>
          <w:sz w:val="32"/>
          <w:szCs w:val="32"/>
          <w:highlight w:val="none"/>
          <w:shd w:val="clear" w:color="auto" w:fill="FFFFFF"/>
        </w:rPr>
        <w:t>地</w:t>
      </w:r>
      <w:r>
        <w:rPr>
          <w:rFonts w:hint="eastAsia" w:ascii="方正公文仿宋" w:hAnsi="方正公文仿宋" w:eastAsia="方正公文仿宋" w:cs="方正公文仿宋"/>
          <w:b w:val="0"/>
          <w:bCs w:val="0"/>
          <w:i w:val="0"/>
          <w:caps w:val="0"/>
          <w:color w:val="auto"/>
          <w:spacing w:val="0"/>
          <w:sz w:val="32"/>
          <w:szCs w:val="32"/>
          <w:highlight w:val="none"/>
          <w:shd w:val="clear" w:color="auto" w:fill="FFFFFF"/>
          <w:lang w:eastAsia="zh-CN"/>
        </w:rPr>
        <w:t>，按建设用地管理，</w:t>
      </w:r>
      <w:r>
        <w:rPr>
          <w:rFonts w:hint="eastAsia" w:ascii="方正公文仿宋" w:hAnsi="方正公文仿宋" w:eastAsia="方正公文仿宋" w:cs="方正公文仿宋"/>
          <w:b w:val="0"/>
          <w:bCs w:val="0"/>
          <w:i w:val="0"/>
          <w:caps w:val="0"/>
          <w:color w:val="auto"/>
          <w:spacing w:val="0"/>
          <w:sz w:val="32"/>
          <w:szCs w:val="32"/>
          <w:highlight w:val="none"/>
          <w:shd w:val="clear" w:color="auto" w:fill="FFFFFF"/>
        </w:rPr>
        <w:t>依法依规办理建设用地审批手续</w:t>
      </w:r>
      <w:r>
        <w:rPr>
          <w:rFonts w:hint="eastAsia" w:ascii="方正公文仿宋" w:hAnsi="方正公文仿宋" w:eastAsia="方正公文仿宋" w:cs="方正公文仿宋"/>
          <w:b w:val="0"/>
          <w:bCs w:val="0"/>
          <w:i w:val="0"/>
          <w:caps w:val="0"/>
          <w:color w:val="auto"/>
          <w:spacing w:val="0"/>
          <w:sz w:val="32"/>
          <w:szCs w:val="32"/>
          <w:highlight w:val="none"/>
          <w:shd w:val="clear" w:color="auto" w:fill="FFFFFF"/>
          <w:lang w:eastAsia="zh-CN"/>
        </w:rPr>
        <w:t>。在符合光伏用地标准的前提下，</w:t>
      </w:r>
      <w:r>
        <w:rPr>
          <w:rFonts w:hint="eastAsia" w:ascii="方正公文仿宋" w:hAnsi="方正公文仿宋" w:eastAsia="方正公文仿宋" w:cs="方正公文仿宋"/>
          <w:b w:val="0"/>
          <w:bCs w:val="0"/>
          <w:i w:val="0"/>
          <w:caps w:val="0"/>
          <w:color w:val="auto"/>
          <w:spacing w:val="0"/>
          <w:sz w:val="32"/>
          <w:szCs w:val="32"/>
          <w:highlight w:val="none"/>
          <w:shd w:val="clear" w:color="auto" w:fill="FFFFFF"/>
          <w:lang w:val="en-US" w:eastAsia="zh-CN"/>
        </w:rPr>
        <w:t>位于方阵内部和四周，直接配套光伏方阵的道路，按农村道路用地管理，由</w:t>
      </w:r>
      <w:r>
        <w:rPr>
          <w:rFonts w:hint="eastAsia" w:ascii="方正公文仿宋" w:hAnsi="方正公文仿宋" w:eastAsia="方正公文仿宋" w:cs="方正公文仿宋"/>
          <w:b w:val="0"/>
          <w:bCs w:val="0"/>
          <w:i w:val="0"/>
          <w:caps w:val="0"/>
          <w:color w:val="auto"/>
          <w:spacing w:val="0"/>
          <w:sz w:val="32"/>
          <w:szCs w:val="32"/>
          <w:highlight w:val="none"/>
          <w:u w:val="none"/>
          <w:shd w:val="clear" w:color="auto" w:fill="FFFFFF"/>
          <w:lang w:val="en-US" w:eastAsia="zh-CN"/>
        </w:rPr>
        <w:t>当地自然资源主管部门备案。</w:t>
      </w:r>
      <w:r>
        <w:rPr>
          <w:rFonts w:hint="eastAsia" w:ascii="方正公文仿宋" w:hAnsi="方正公文仿宋" w:eastAsia="方正公文仿宋" w:cs="方正公文仿宋"/>
          <w:b w:val="0"/>
          <w:bCs w:val="0"/>
          <w:i w:val="0"/>
          <w:caps w:val="0"/>
          <w:color w:val="auto"/>
          <w:spacing w:val="0"/>
          <w:sz w:val="32"/>
          <w:szCs w:val="32"/>
          <w:highlight w:val="none"/>
          <w:shd w:val="clear" w:color="auto" w:fill="FFFFFF"/>
          <w:lang w:eastAsia="zh-CN"/>
        </w:rPr>
        <w:t>其他道路按建设用地管理。</w:t>
      </w:r>
    </w:p>
    <w:p w14:paraId="6AEC9C07">
      <w:pPr>
        <w:keepNext w:val="0"/>
        <w:keepLines w:val="0"/>
        <w:pageBreakBefore w:val="0"/>
        <w:widowControl w:val="0"/>
        <w:suppressLineNumbers w:val="0"/>
        <w:kinsoku/>
        <w:wordWrap/>
        <w:overflowPunct/>
        <w:topLinePunct w:val="0"/>
        <w:autoSpaceDE/>
        <w:autoSpaceDN/>
        <w:bidi w:val="0"/>
        <w:adjustRightInd w:val="0"/>
        <w:snapToGrid w:val="0"/>
        <w:spacing w:line="640" w:lineRule="exact"/>
        <w:ind w:firstLine="640" w:firstLineChars="200"/>
        <w:jc w:val="left"/>
        <w:textAlignment w:val="auto"/>
        <w:rPr>
          <w:rFonts w:hint="eastAsia" w:ascii="方正公文仿宋" w:hAnsi="方正公文仿宋" w:eastAsia="方正公文仿宋" w:cs="方正公文仿宋"/>
          <w:b w:val="0"/>
          <w:bCs w:val="0"/>
          <w:i w:val="0"/>
          <w:caps w:val="0"/>
          <w:color w:val="auto"/>
          <w:spacing w:val="0"/>
          <w:kern w:val="0"/>
          <w:sz w:val="32"/>
          <w:szCs w:val="32"/>
          <w:highlight w:val="none"/>
          <w:shd w:val="clear" w:color="auto" w:fill="FFFFFF"/>
          <w:lang w:val="en-US" w:eastAsia="zh-CN" w:bidi="ar"/>
        </w:rPr>
      </w:pPr>
      <w:r>
        <w:rPr>
          <w:rFonts w:hint="eastAsia" w:ascii="方正公文仿宋" w:hAnsi="方正公文仿宋" w:eastAsia="方正公文仿宋" w:cs="方正公文仿宋"/>
          <w:b w:val="0"/>
          <w:bCs w:val="0"/>
          <w:i w:val="0"/>
          <w:caps w:val="0"/>
          <w:color w:val="auto"/>
          <w:spacing w:val="0"/>
          <w:kern w:val="2"/>
          <w:sz w:val="32"/>
          <w:szCs w:val="32"/>
          <w:highlight w:val="none"/>
          <w:shd w:val="clear" w:color="auto" w:fill="FFFFFF"/>
          <w:lang w:val="en-US" w:eastAsia="zh-CN" w:bidi="ar-SA"/>
        </w:rPr>
        <w:t>鼓励光伏发电项目因地制宜，通过采用“林光互补”“草光互补”等复合用地模式，促进土地节约集约利用。</w:t>
      </w:r>
      <w:r>
        <w:rPr>
          <w:rFonts w:hint="eastAsia" w:ascii="方正公文仿宋" w:hAnsi="方正公文仿宋" w:eastAsia="方正公文仿宋" w:cs="方正公文仿宋"/>
          <w:b w:val="0"/>
          <w:bCs w:val="0"/>
          <w:i w:val="0"/>
          <w:caps w:val="0"/>
          <w:color w:val="auto"/>
          <w:spacing w:val="0"/>
          <w:kern w:val="0"/>
          <w:sz w:val="32"/>
          <w:szCs w:val="32"/>
          <w:highlight w:val="none"/>
          <w:shd w:val="clear" w:color="auto" w:fill="FFFFFF"/>
          <w:lang w:val="en-US" w:eastAsia="zh-CN" w:bidi="ar"/>
        </w:rPr>
        <w:t>采用“草光互补”模式的，在不破坏草原土壤结构或原生植被的原则下，</w:t>
      </w:r>
      <w:r>
        <w:rPr>
          <w:rFonts w:hint="eastAsia" w:ascii="方正公文仿宋" w:hAnsi="方正公文仿宋" w:eastAsia="方正公文仿宋" w:cs="方正公文仿宋"/>
          <w:b w:val="0"/>
          <w:bCs w:val="0"/>
          <w:i w:val="0"/>
          <w:caps w:val="0"/>
          <w:color w:val="auto"/>
          <w:spacing w:val="0"/>
          <w:kern w:val="2"/>
          <w:sz w:val="32"/>
          <w:szCs w:val="32"/>
          <w:highlight w:val="none"/>
          <w:shd w:val="clear" w:color="auto" w:fill="FFFFFF"/>
          <w:lang w:val="en-US" w:eastAsia="zh-CN" w:bidi="ar-SA"/>
        </w:rPr>
        <w:t>按照适合放牧利用要求，合理设置每列光伏板南北方向净间距</w:t>
      </w:r>
      <w:r>
        <w:rPr>
          <w:rFonts w:hint="eastAsia" w:ascii="方正公文仿宋" w:hAnsi="方正公文仿宋" w:eastAsia="方正公文仿宋" w:cs="方正公文仿宋"/>
          <w:b w:val="0"/>
          <w:bCs w:val="0"/>
          <w:i w:val="0"/>
          <w:caps w:val="0"/>
          <w:color w:val="auto"/>
          <w:spacing w:val="0"/>
          <w:kern w:val="0"/>
          <w:sz w:val="32"/>
          <w:szCs w:val="32"/>
          <w:highlight w:val="none"/>
          <w:shd w:val="clear" w:color="auto" w:fill="FFFFFF"/>
          <w:lang w:val="en-US" w:eastAsia="zh-CN" w:bidi="ar"/>
        </w:rPr>
        <w:t>，</w:t>
      </w:r>
      <w:r>
        <w:rPr>
          <w:rFonts w:hint="eastAsia" w:ascii="方正公文仿宋" w:hAnsi="方正公文仿宋" w:eastAsia="方正公文仿宋" w:cs="方正公文仿宋"/>
          <w:b w:val="0"/>
          <w:bCs w:val="0"/>
          <w:i w:val="0"/>
          <w:caps w:val="0"/>
          <w:color w:val="auto"/>
          <w:spacing w:val="0"/>
          <w:sz w:val="32"/>
          <w:szCs w:val="32"/>
          <w:highlight w:val="none"/>
          <w:u w:val="none"/>
          <w:shd w:val="clear" w:color="auto" w:fill="FFFFFF"/>
          <w:lang w:val="en-US" w:eastAsia="zh-CN"/>
        </w:rPr>
        <w:t>光伏组件最低沿应高于地面1.5米</w:t>
      </w:r>
      <w:r>
        <w:rPr>
          <w:rFonts w:hint="eastAsia" w:ascii="方正公文仿宋" w:hAnsi="方正公文仿宋" w:eastAsia="方正公文仿宋" w:cs="方正公文仿宋"/>
          <w:b w:val="0"/>
          <w:bCs w:val="0"/>
          <w:i w:val="0"/>
          <w:caps w:val="0"/>
          <w:color w:val="auto"/>
          <w:spacing w:val="0"/>
          <w:kern w:val="0"/>
          <w:sz w:val="32"/>
          <w:szCs w:val="32"/>
          <w:highlight w:val="none"/>
          <w:shd w:val="clear" w:color="auto" w:fill="FFFFFF"/>
          <w:lang w:val="en-US" w:eastAsia="zh-CN" w:bidi="ar"/>
        </w:rPr>
        <w:t>。采用“林光互补”模式的，可使用覆盖度低于50%的灌木林地，光伏支架最低点应高于灌木高度1米以上，每列光伏板南北方向应合理设置净间距。</w:t>
      </w:r>
    </w:p>
    <w:p w14:paraId="7610093A">
      <w:pPr>
        <w:keepNext w:val="0"/>
        <w:keepLines w:val="0"/>
        <w:pageBreakBefore w:val="0"/>
        <w:widowControl w:val="0"/>
        <w:suppressLineNumbers w:val="0"/>
        <w:kinsoku/>
        <w:wordWrap/>
        <w:overflowPunct/>
        <w:topLinePunct w:val="0"/>
        <w:autoSpaceDE/>
        <w:autoSpaceDN/>
        <w:bidi w:val="0"/>
        <w:adjustRightInd w:val="0"/>
        <w:snapToGrid w:val="0"/>
        <w:spacing w:line="640" w:lineRule="exact"/>
        <w:ind w:firstLine="640" w:firstLineChars="200"/>
        <w:jc w:val="both"/>
        <w:textAlignment w:val="auto"/>
        <w:rPr>
          <w:rFonts w:hint="eastAsia" w:ascii="方正公文仿宋" w:hAnsi="方正公文仿宋" w:eastAsia="方正公文仿宋" w:cs="方正公文仿宋"/>
          <w:b w:val="0"/>
          <w:bCs w:val="0"/>
          <w:i w:val="0"/>
          <w:caps w:val="0"/>
          <w:color w:val="auto"/>
          <w:spacing w:val="0"/>
          <w:sz w:val="32"/>
          <w:szCs w:val="32"/>
          <w:highlight w:val="none"/>
          <w:u w:val="none"/>
          <w:shd w:val="clear" w:color="auto" w:fill="FFFFFF"/>
          <w:lang w:eastAsia="zh-CN"/>
        </w:rPr>
      </w:pPr>
      <w:r>
        <w:rPr>
          <w:rFonts w:hint="eastAsia" w:ascii="方正公文仿宋" w:hAnsi="方正公文仿宋" w:eastAsia="方正公文仿宋" w:cs="方正公文仿宋"/>
          <w:b w:val="0"/>
          <w:bCs w:val="0"/>
          <w:i w:val="0"/>
          <w:caps w:val="0"/>
          <w:color w:val="auto"/>
          <w:spacing w:val="0"/>
          <w:sz w:val="32"/>
          <w:szCs w:val="32"/>
          <w:highlight w:val="none"/>
          <w:u w:val="none"/>
          <w:shd w:val="clear" w:color="auto" w:fill="FFFFFF"/>
          <w:lang w:val="en-US" w:eastAsia="zh-CN"/>
        </w:rPr>
        <w:t>对采用“林光互补”“草光互补”模式的光热方阵用地参照光伏复合利用标准的相关规定执行。</w:t>
      </w:r>
      <w:r>
        <w:rPr>
          <w:rFonts w:hint="eastAsia" w:ascii="方正公文仿宋" w:hAnsi="方正公文仿宋" w:eastAsia="方正公文仿宋" w:cs="方正公文仿宋"/>
          <w:b w:val="0"/>
          <w:bCs w:val="0"/>
          <w:i w:val="0"/>
          <w:caps w:val="0"/>
          <w:color w:val="auto"/>
          <w:spacing w:val="0"/>
          <w:sz w:val="32"/>
          <w:szCs w:val="32"/>
          <w:highlight w:val="none"/>
          <w:u w:val="none"/>
          <w:shd w:val="clear" w:color="auto" w:fill="FFFFFF"/>
          <w:lang w:eastAsia="zh-CN"/>
        </w:rPr>
        <w:t>风电项目场内检修道路用地，在符合风电用地标准的前提下，</w:t>
      </w:r>
      <w:r>
        <w:rPr>
          <w:rFonts w:hint="eastAsia" w:ascii="方正公文仿宋" w:hAnsi="方正公文仿宋" w:eastAsia="方正公文仿宋" w:cs="方正公文仿宋"/>
          <w:b w:val="0"/>
          <w:bCs w:val="0"/>
          <w:i w:val="0"/>
          <w:caps w:val="0"/>
          <w:color w:val="auto"/>
          <w:spacing w:val="0"/>
          <w:sz w:val="32"/>
          <w:szCs w:val="32"/>
          <w:highlight w:val="none"/>
          <w:shd w:val="clear" w:color="auto" w:fill="FFFFFF"/>
          <w:lang w:eastAsia="zh-CN"/>
        </w:rPr>
        <w:t>按农村</w:t>
      </w:r>
      <w:r>
        <w:rPr>
          <w:rFonts w:hint="eastAsia" w:ascii="方正公文仿宋" w:hAnsi="方正公文仿宋" w:eastAsia="方正公文仿宋" w:cs="方正公文仿宋"/>
          <w:b w:val="0"/>
          <w:bCs w:val="0"/>
          <w:i w:val="0"/>
          <w:caps w:val="0"/>
          <w:color w:val="auto"/>
          <w:spacing w:val="0"/>
          <w:sz w:val="32"/>
          <w:szCs w:val="32"/>
          <w:highlight w:val="none"/>
          <w:u w:val="none"/>
          <w:shd w:val="clear" w:color="auto" w:fill="FFFFFF"/>
          <w:lang w:eastAsia="zh-CN"/>
        </w:rPr>
        <w:t>道路用地管理。</w:t>
      </w:r>
    </w:p>
    <w:p w14:paraId="3A661820">
      <w:pPr>
        <w:pStyle w:val="2"/>
        <w:keepNext w:val="0"/>
        <w:keepLines w:val="0"/>
        <w:pageBreakBefore w:val="0"/>
        <w:widowControl w:val="0"/>
        <w:kinsoku/>
        <w:wordWrap/>
        <w:overflowPunct/>
        <w:topLinePunct w:val="0"/>
        <w:autoSpaceDE/>
        <w:autoSpaceDN/>
        <w:bidi w:val="0"/>
        <w:adjustRightInd w:val="0"/>
        <w:snapToGrid w:val="0"/>
        <w:spacing w:after="0" w:line="640" w:lineRule="exact"/>
        <w:ind w:firstLine="643" w:firstLineChars="200"/>
        <w:textAlignment w:val="auto"/>
        <w:rPr>
          <w:rFonts w:hint="eastAsia" w:ascii="方正公文仿宋" w:hAnsi="方正公文仿宋" w:eastAsia="方正公文仿宋" w:cs="方正公文仿宋"/>
          <w:b/>
          <w:bCs/>
          <w:color w:val="FF0000"/>
          <w:sz w:val="32"/>
          <w:szCs w:val="32"/>
          <w:highlight w:val="none"/>
          <w:u w:val="none"/>
          <w:lang w:val="en-US" w:eastAsia="zh-CN"/>
        </w:rPr>
      </w:pPr>
      <w:r>
        <w:rPr>
          <w:rFonts w:hint="eastAsia" w:ascii="方正公文仿宋" w:hAnsi="方正公文仿宋" w:eastAsia="方正公文仿宋" w:cs="方正公文仿宋"/>
          <w:b/>
          <w:bCs/>
          <w:color w:val="auto"/>
          <w:kern w:val="0"/>
          <w:sz w:val="32"/>
          <w:szCs w:val="32"/>
          <w:highlight w:val="none"/>
          <w:lang w:val="en-US" w:eastAsia="zh-CN" w:bidi="ar"/>
        </w:rPr>
        <w:t>（五）优化蓄能式水电站工程用地审批</w:t>
      </w:r>
      <w:r>
        <w:rPr>
          <w:rFonts w:hint="eastAsia" w:ascii="方正公文仿宋" w:hAnsi="方正公文仿宋" w:eastAsia="方正公文仿宋" w:cs="方正公文仿宋"/>
          <w:b w:val="0"/>
          <w:bCs w:val="0"/>
          <w:i w:val="0"/>
          <w:caps w:val="0"/>
          <w:color w:val="auto"/>
          <w:spacing w:val="0"/>
          <w:kern w:val="0"/>
          <w:sz w:val="32"/>
          <w:szCs w:val="32"/>
          <w:highlight w:val="none"/>
          <w:shd w:val="clear" w:color="auto" w:fill="FFFFFF"/>
          <w:lang w:val="en-US" w:eastAsia="zh-CN" w:bidi="ar"/>
        </w:rPr>
        <w:t>。</w:t>
      </w:r>
      <w:r>
        <w:rPr>
          <w:rFonts w:hint="eastAsia" w:ascii="方正公文仿宋" w:hAnsi="方正公文仿宋" w:eastAsia="方正公文仿宋" w:cs="方正公文仿宋"/>
          <w:b w:val="0"/>
          <w:bCs w:val="0"/>
          <w:color w:val="auto"/>
          <w:kern w:val="0"/>
          <w:sz w:val="32"/>
          <w:szCs w:val="32"/>
          <w:highlight w:val="none"/>
          <w:lang w:val="en-US" w:eastAsia="zh-CN" w:bidi="ar"/>
        </w:rPr>
        <w:t>蓄能式水电站</w:t>
      </w:r>
      <w:r>
        <w:rPr>
          <w:rFonts w:hint="eastAsia" w:ascii="方正公文仿宋" w:hAnsi="方正公文仿宋" w:eastAsia="方正公文仿宋" w:cs="方正公文仿宋"/>
          <w:b w:val="0"/>
          <w:bCs w:val="0"/>
          <w:color w:val="auto"/>
          <w:sz w:val="32"/>
          <w:szCs w:val="32"/>
          <w:highlight w:val="none"/>
          <w:lang w:val="en-US" w:eastAsia="zh-CN"/>
        </w:rPr>
        <w:t>主体工程与水库（河流）水面等淹没区作为整体项目办理建设用地审批手续。主体工程应</w:t>
      </w:r>
      <w:r>
        <w:rPr>
          <w:rFonts w:hint="eastAsia" w:ascii="方正公文仿宋" w:hAnsi="方正公文仿宋" w:eastAsia="方正公文仿宋" w:cs="方正公文仿宋"/>
          <w:b w:val="0"/>
          <w:bCs w:val="0"/>
          <w:i w:val="0"/>
          <w:caps w:val="0"/>
          <w:color w:val="auto"/>
          <w:spacing w:val="0"/>
          <w:kern w:val="0"/>
          <w:sz w:val="32"/>
          <w:szCs w:val="32"/>
          <w:highlight w:val="none"/>
          <w:u w:val="none"/>
          <w:shd w:val="clear" w:color="auto" w:fill="FFFFFF"/>
          <w:lang w:val="en-US" w:eastAsia="zh-CN" w:bidi="ar"/>
        </w:rPr>
        <w:t>依法办理农用地转用手续</w:t>
      </w:r>
      <w:r>
        <w:rPr>
          <w:rFonts w:hint="eastAsia" w:ascii="方正公文仿宋" w:hAnsi="方正公文仿宋" w:eastAsia="方正公文仿宋" w:cs="方正公文仿宋"/>
          <w:b w:val="0"/>
          <w:bCs w:val="0"/>
          <w:color w:val="auto"/>
          <w:sz w:val="32"/>
          <w:szCs w:val="32"/>
          <w:highlight w:val="none"/>
          <w:lang w:val="en-US" w:eastAsia="zh-CN"/>
        </w:rPr>
        <w:t>，水库（河流）水面淹没区不需申请办理建设项目用地预审和节地评价，且不办理农用地转用手续，涉及农民集体所有土地的，应</w:t>
      </w:r>
      <w:r>
        <w:rPr>
          <w:rFonts w:hint="eastAsia" w:ascii="方正公文仿宋" w:hAnsi="方正公文仿宋" w:eastAsia="方正公文仿宋" w:cs="方正公文仿宋"/>
          <w:b w:val="0"/>
          <w:bCs w:val="0"/>
          <w:i w:val="0"/>
          <w:caps w:val="0"/>
          <w:color w:val="auto"/>
          <w:spacing w:val="0"/>
          <w:kern w:val="0"/>
          <w:sz w:val="32"/>
          <w:szCs w:val="32"/>
          <w:highlight w:val="none"/>
          <w:u w:val="none"/>
          <w:shd w:val="clear" w:color="auto" w:fill="FFFFFF"/>
          <w:lang w:val="en-US" w:eastAsia="zh-CN" w:bidi="ar"/>
        </w:rPr>
        <w:t>依法办理土地征收手续</w:t>
      </w:r>
      <w:r>
        <w:rPr>
          <w:rFonts w:hint="eastAsia" w:ascii="方正公文仿宋" w:hAnsi="方正公文仿宋" w:eastAsia="方正公文仿宋" w:cs="方正公文仿宋"/>
          <w:b w:val="0"/>
          <w:bCs w:val="0"/>
          <w:color w:val="auto"/>
          <w:sz w:val="32"/>
          <w:szCs w:val="32"/>
          <w:highlight w:val="none"/>
          <w:lang w:val="en-US" w:eastAsia="zh-CN"/>
        </w:rPr>
        <w:t>。对于施工期较长的大型水电项目，可根据建设工期分期报批。符合允许占用永久基本农田重大建设项目要求的，水库（河流）水面淹没区方可占用永久基本农田，但需落实永久基本农田补划任务。对主体工程和淹没区涉及永久基本农田的，应整体报国务院批准，依据国务院建设用地批准文件同步修改国土空间规划。</w:t>
      </w:r>
    </w:p>
    <w:p w14:paraId="117AA66E">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3" w:firstLineChars="200"/>
        <w:jc w:val="both"/>
        <w:textAlignment w:val="auto"/>
        <w:rPr>
          <w:rFonts w:hint="eastAsia" w:ascii="方正公文仿宋" w:hAnsi="方正公文仿宋" w:eastAsia="方正公文仿宋" w:cs="方正公文仿宋"/>
          <w:b w:val="0"/>
          <w:bCs w:val="0"/>
          <w:color w:val="auto"/>
          <w:sz w:val="32"/>
          <w:szCs w:val="32"/>
          <w:highlight w:val="none"/>
          <w:u w:val="none"/>
          <w:lang w:eastAsia="zh-CN"/>
        </w:rPr>
      </w:pPr>
      <w:r>
        <w:rPr>
          <w:rFonts w:hint="eastAsia" w:ascii="方正公文仿宋" w:hAnsi="方正公文仿宋" w:eastAsia="方正公文仿宋" w:cs="方正公文仿宋"/>
          <w:b/>
          <w:bCs/>
          <w:color w:val="auto"/>
          <w:kern w:val="0"/>
          <w:sz w:val="32"/>
          <w:szCs w:val="32"/>
          <w:highlight w:val="none"/>
          <w:lang w:val="en-US" w:eastAsia="zh-CN" w:bidi="ar"/>
        </w:rPr>
        <w:t>（六）简化电网项目用地审批手续</w:t>
      </w:r>
      <w:r>
        <w:rPr>
          <w:rFonts w:hint="eastAsia" w:ascii="方正公文仿宋" w:hAnsi="方正公文仿宋" w:eastAsia="方正公文仿宋" w:cs="方正公文仿宋"/>
          <w:b w:val="0"/>
          <w:bCs w:val="0"/>
          <w:color w:val="auto"/>
          <w:kern w:val="0"/>
          <w:sz w:val="32"/>
          <w:szCs w:val="32"/>
          <w:highlight w:val="none"/>
          <w:lang w:val="en-US" w:eastAsia="zh-CN" w:bidi="ar"/>
        </w:rPr>
        <w:t>。</w:t>
      </w:r>
      <w:r>
        <w:rPr>
          <w:rFonts w:hint="eastAsia" w:ascii="方正公文仿宋" w:hAnsi="方正公文仿宋" w:eastAsia="方正公文仿宋" w:cs="方正公文仿宋"/>
          <w:b w:val="0"/>
          <w:bCs w:val="0"/>
          <w:i w:val="0"/>
          <w:caps w:val="0"/>
          <w:color w:val="auto"/>
          <w:spacing w:val="0"/>
          <w:kern w:val="0"/>
          <w:sz w:val="32"/>
          <w:szCs w:val="32"/>
          <w:highlight w:val="none"/>
          <w:u w:val="none"/>
          <w:shd w:val="clear" w:color="auto" w:fill="FFFFFF"/>
          <w:lang w:val="en-US" w:eastAsia="zh-CN" w:bidi="ar"/>
        </w:rPr>
        <w:t>电网项目应坚持保护耕地、节约集约用地的原则。对变电站工程站区使用新增建设用地的，应依法办理农用地转用征收手续；对输配电线路工程杆、塔基和地下电缆通道或不改变原线路路径的改造工程，无需办理用地预审、社会稳定风险评估和节地评价及征地手续，参照有关规定给予一次性经济补偿。对临时使用的土地，应依法依规办理临时用地手续，用地单位应当自临时用地期满之日起一年内完成复垦，使其达到可供利用状态，其中占用耕地的应恢复种植条</w:t>
      </w:r>
      <w:r>
        <w:rPr>
          <w:rFonts w:hint="eastAsia" w:ascii="方正公文仿宋" w:hAnsi="方正公文仿宋" w:eastAsia="方正公文仿宋" w:cs="方正公文仿宋"/>
          <w:b w:val="0"/>
          <w:bCs w:val="0"/>
          <w:color w:val="auto"/>
          <w:sz w:val="32"/>
          <w:szCs w:val="32"/>
          <w:highlight w:val="none"/>
          <w:u w:val="none"/>
          <w:lang w:eastAsia="zh-CN"/>
        </w:rPr>
        <w:t>件。</w:t>
      </w:r>
    </w:p>
    <w:p w14:paraId="0E7494E5">
      <w:pPr>
        <w:keepNext w:val="0"/>
        <w:keepLines w:val="0"/>
        <w:pageBreakBefore w:val="0"/>
        <w:widowControl w:val="0"/>
        <w:suppressLineNumbers w:val="0"/>
        <w:kinsoku/>
        <w:wordWrap/>
        <w:overflowPunct/>
        <w:topLinePunct w:val="0"/>
        <w:autoSpaceDE/>
        <w:autoSpaceDN/>
        <w:bidi w:val="0"/>
        <w:adjustRightInd w:val="0"/>
        <w:snapToGrid w:val="0"/>
        <w:spacing w:line="640" w:lineRule="exact"/>
        <w:ind w:firstLine="640" w:firstLineChars="200"/>
        <w:jc w:val="both"/>
        <w:textAlignment w:val="auto"/>
        <w:rPr>
          <w:rFonts w:hint="eastAsia" w:ascii="方正公文黑体" w:hAnsi="方正公文黑体" w:eastAsia="方正公文黑体" w:cs="方正公文黑体"/>
          <w:b w:val="0"/>
          <w:bCs w:val="0"/>
          <w:color w:val="auto"/>
          <w:sz w:val="32"/>
          <w:szCs w:val="32"/>
          <w:highlight w:val="none"/>
          <w:lang w:val="en-US" w:eastAsia="zh-CN"/>
        </w:rPr>
      </w:pPr>
      <w:r>
        <w:rPr>
          <w:rFonts w:hint="eastAsia" w:ascii="方正公文黑体" w:hAnsi="方正公文黑体" w:eastAsia="方正公文黑体" w:cs="方正公文黑体"/>
          <w:b w:val="0"/>
          <w:bCs w:val="0"/>
          <w:color w:val="auto"/>
          <w:sz w:val="32"/>
          <w:szCs w:val="32"/>
          <w:highlight w:val="none"/>
          <w:lang w:val="en-US" w:eastAsia="zh-CN"/>
        </w:rPr>
        <w:t>三、坚持节约集约，优化土地供应</w:t>
      </w:r>
    </w:p>
    <w:p w14:paraId="4CD5343D">
      <w:pPr>
        <w:keepNext w:val="0"/>
        <w:keepLines w:val="0"/>
        <w:pageBreakBefore w:val="0"/>
        <w:widowControl w:val="0"/>
        <w:suppressLineNumbers w:val="0"/>
        <w:kinsoku/>
        <w:wordWrap/>
        <w:overflowPunct/>
        <w:topLinePunct w:val="0"/>
        <w:autoSpaceDE/>
        <w:autoSpaceDN/>
        <w:bidi w:val="0"/>
        <w:adjustRightInd w:val="0"/>
        <w:snapToGrid w:val="0"/>
        <w:spacing w:line="640" w:lineRule="exact"/>
        <w:ind w:firstLine="643" w:firstLineChars="200"/>
        <w:jc w:val="both"/>
        <w:textAlignment w:val="auto"/>
        <w:rPr>
          <w:rFonts w:hint="eastAsia" w:ascii="方正公文仿宋" w:hAnsi="方正公文仿宋" w:eastAsia="方正公文仿宋" w:cs="方正公文仿宋"/>
          <w:b w:val="0"/>
          <w:bCs w:val="0"/>
          <w:color w:val="auto"/>
          <w:sz w:val="32"/>
          <w:szCs w:val="32"/>
          <w:highlight w:val="none"/>
          <w:lang w:val="en-US" w:eastAsia="zh-CN"/>
        </w:rPr>
      </w:pPr>
      <w:r>
        <w:rPr>
          <w:rFonts w:hint="eastAsia" w:ascii="方正公文仿宋" w:hAnsi="方正公文仿宋" w:eastAsia="方正公文仿宋" w:cs="方正公文仿宋"/>
          <w:b/>
          <w:bCs/>
          <w:color w:val="auto"/>
          <w:sz w:val="32"/>
          <w:szCs w:val="32"/>
          <w:highlight w:val="none"/>
          <w:lang w:val="en-US" w:eastAsia="zh-CN"/>
        </w:rPr>
        <w:t>（七）规范节地评价</w:t>
      </w:r>
      <w:r>
        <w:rPr>
          <w:rFonts w:hint="eastAsia" w:ascii="方正公文仿宋" w:hAnsi="方正公文仿宋" w:eastAsia="方正公文仿宋" w:cs="方正公文仿宋"/>
          <w:b w:val="0"/>
          <w:bCs w:val="0"/>
          <w:color w:val="auto"/>
          <w:sz w:val="32"/>
          <w:szCs w:val="32"/>
          <w:highlight w:val="none"/>
          <w:lang w:val="en-US" w:eastAsia="zh-CN"/>
        </w:rPr>
        <w:t>。在建设项目可行性研究、用地预审等各环节，严格执行建设项目土地使用标准。对国家尚未颁布土地使用标准和建设标准的项目，或已有用地标准但因安全生产、地形地貌、工艺技术有特殊要求需要突破标准的项目，严格落实节地评价制度。其中，已编制节约集约用地论证分析专章的，不再单独编制节地评价报告。</w:t>
      </w:r>
    </w:p>
    <w:p w14:paraId="79683B12">
      <w:pPr>
        <w:keepNext w:val="0"/>
        <w:keepLines w:val="0"/>
        <w:pageBreakBefore w:val="0"/>
        <w:widowControl w:val="0"/>
        <w:suppressLineNumbers w:val="0"/>
        <w:kinsoku/>
        <w:wordWrap/>
        <w:overflowPunct/>
        <w:topLinePunct w:val="0"/>
        <w:autoSpaceDE/>
        <w:autoSpaceDN/>
        <w:bidi w:val="0"/>
        <w:adjustRightInd w:val="0"/>
        <w:snapToGrid w:val="0"/>
        <w:spacing w:line="640" w:lineRule="exact"/>
        <w:ind w:firstLine="643" w:firstLineChars="200"/>
        <w:jc w:val="both"/>
        <w:textAlignment w:val="auto"/>
        <w:rPr>
          <w:rFonts w:hint="eastAsia" w:ascii="方正公文仿宋" w:hAnsi="方正公文仿宋" w:eastAsia="方正公文仿宋" w:cs="方正公文仿宋"/>
          <w:b w:val="0"/>
          <w:bCs w:val="0"/>
          <w:color w:val="auto"/>
          <w:sz w:val="32"/>
          <w:szCs w:val="32"/>
          <w:highlight w:val="none"/>
          <w:lang w:val="en-US" w:eastAsia="zh-CN"/>
        </w:rPr>
      </w:pPr>
      <w:r>
        <w:rPr>
          <w:rFonts w:hint="eastAsia" w:ascii="方正公文仿宋" w:hAnsi="方正公文仿宋" w:eastAsia="方正公文仿宋" w:cs="方正公文仿宋"/>
          <w:b/>
          <w:bCs/>
          <w:color w:val="auto"/>
          <w:sz w:val="32"/>
          <w:szCs w:val="32"/>
          <w:highlight w:val="none"/>
          <w:lang w:val="en-US" w:eastAsia="zh-CN"/>
        </w:rPr>
        <w:t>（八）推动存量土地盘活利用</w:t>
      </w:r>
      <w:r>
        <w:rPr>
          <w:rFonts w:hint="eastAsia" w:ascii="方正公文仿宋" w:hAnsi="方正公文仿宋" w:eastAsia="方正公文仿宋" w:cs="方正公文仿宋"/>
          <w:b w:val="0"/>
          <w:bCs w:val="0"/>
          <w:color w:val="auto"/>
          <w:sz w:val="32"/>
          <w:szCs w:val="32"/>
          <w:highlight w:val="none"/>
          <w:lang w:val="en-US" w:eastAsia="zh-CN"/>
        </w:rPr>
        <w:t>。鼓励利用低效用地再开发建设新能源项目，提高存量用地资源配置效率。对于难以复垦或修复的采煤沉陷区、油气田及其上部其他矿种矿业权范围内，征得矿业权人同意、签订相关协议后，支持利用其中的非耕地区域规划建设新能源项目。</w:t>
      </w:r>
    </w:p>
    <w:p w14:paraId="0AAA5EF9">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eastAsia" w:ascii="方正公文仿宋" w:hAnsi="方正公文仿宋" w:eastAsia="方正公文仿宋" w:cs="方正公文仿宋"/>
          <w:color w:val="auto"/>
          <w:sz w:val="32"/>
          <w:szCs w:val="32"/>
          <w:highlight w:val="none"/>
          <w:lang w:val="en-US" w:eastAsia="zh-CN"/>
        </w:rPr>
      </w:pPr>
      <w:r>
        <w:rPr>
          <w:rFonts w:hint="eastAsia" w:ascii="方正公文仿宋" w:hAnsi="方正公文仿宋" w:eastAsia="方正公文仿宋" w:cs="方正公文仿宋"/>
          <w:b/>
          <w:bCs/>
          <w:color w:val="auto"/>
          <w:kern w:val="0"/>
          <w:sz w:val="32"/>
          <w:szCs w:val="32"/>
          <w:highlight w:val="none"/>
          <w:lang w:val="en-US" w:eastAsia="zh-CN" w:bidi="ar"/>
        </w:rPr>
        <w:t>（九）优化新能源项目划拨供地程序</w:t>
      </w:r>
      <w:r>
        <w:rPr>
          <w:rFonts w:hint="eastAsia" w:ascii="方正公文仿宋" w:hAnsi="方正公文仿宋" w:eastAsia="方正公文仿宋" w:cs="方正公文仿宋"/>
          <w:b w:val="0"/>
          <w:bCs w:val="0"/>
          <w:color w:val="auto"/>
          <w:kern w:val="0"/>
          <w:sz w:val="32"/>
          <w:szCs w:val="32"/>
          <w:highlight w:val="none"/>
          <w:lang w:val="en-US" w:eastAsia="zh-CN" w:bidi="ar"/>
        </w:rPr>
        <w:t>。</w:t>
      </w:r>
      <w:r>
        <w:rPr>
          <w:rFonts w:hint="eastAsia" w:ascii="方正公文仿宋" w:hAnsi="方正公文仿宋" w:eastAsia="方正公文仿宋" w:cs="方正公文仿宋"/>
          <w:b w:val="0"/>
          <w:bCs w:val="0"/>
          <w:color w:val="auto"/>
          <w:sz w:val="32"/>
          <w:szCs w:val="32"/>
          <w:highlight w:val="none"/>
          <w:lang w:val="en-US" w:eastAsia="zh-CN"/>
        </w:rPr>
        <w:t>在国土空间规划确定的城市和村庄、集镇建设用地范围外符合《划拨用地目录》的新能源重大基础设施项目，农用地转用和土地征收经批准实施后，直接核发国有土地使用权划拨决定书。</w:t>
      </w:r>
    </w:p>
    <w:p w14:paraId="770109FF">
      <w:pPr>
        <w:keepNext w:val="0"/>
        <w:keepLines w:val="0"/>
        <w:pageBreakBefore w:val="0"/>
        <w:widowControl w:val="0"/>
        <w:suppressLineNumbers w:val="0"/>
        <w:kinsoku/>
        <w:wordWrap/>
        <w:overflowPunct/>
        <w:topLinePunct w:val="0"/>
        <w:autoSpaceDE/>
        <w:autoSpaceDN/>
        <w:bidi w:val="0"/>
        <w:adjustRightInd w:val="0"/>
        <w:snapToGrid w:val="0"/>
        <w:spacing w:line="640" w:lineRule="exact"/>
        <w:ind w:firstLine="640" w:firstLineChars="200"/>
        <w:jc w:val="both"/>
        <w:textAlignment w:val="auto"/>
        <w:rPr>
          <w:rFonts w:hint="eastAsia" w:ascii="方正公文黑体" w:hAnsi="方正公文黑体" w:eastAsia="方正公文黑体" w:cs="方正公文黑体"/>
          <w:b w:val="0"/>
          <w:bCs w:val="0"/>
          <w:color w:val="auto"/>
          <w:sz w:val="32"/>
          <w:szCs w:val="32"/>
          <w:highlight w:val="none"/>
          <w:lang w:val="en-US" w:eastAsia="zh-CN"/>
        </w:rPr>
      </w:pPr>
      <w:r>
        <w:rPr>
          <w:rFonts w:hint="eastAsia" w:ascii="方正公文黑体" w:hAnsi="方正公文黑体" w:eastAsia="方正公文黑体" w:cs="方正公文黑体"/>
          <w:b w:val="0"/>
          <w:bCs w:val="0"/>
          <w:color w:val="auto"/>
          <w:sz w:val="32"/>
          <w:szCs w:val="32"/>
          <w:highlight w:val="none"/>
          <w:lang w:val="en-US" w:eastAsia="zh-CN"/>
        </w:rPr>
        <w:t>四、实行并联办理，提升服务效能</w:t>
      </w:r>
    </w:p>
    <w:p w14:paraId="05D5A44F">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eastAsia" w:ascii="方正公文仿宋" w:hAnsi="方正公文仿宋" w:eastAsia="方正公文仿宋" w:cs="方正公文仿宋"/>
          <w:b w:val="0"/>
          <w:bCs w:val="0"/>
          <w:color w:val="auto"/>
          <w:kern w:val="0"/>
          <w:sz w:val="32"/>
          <w:szCs w:val="32"/>
          <w:highlight w:val="none"/>
          <w:lang w:val="en-US" w:eastAsia="zh-CN" w:bidi="ar"/>
        </w:rPr>
      </w:pPr>
      <w:r>
        <w:rPr>
          <w:rFonts w:hint="eastAsia" w:ascii="方正公文仿宋" w:hAnsi="方正公文仿宋" w:eastAsia="方正公文仿宋" w:cs="方正公文仿宋"/>
          <w:b/>
          <w:bCs/>
          <w:color w:val="auto"/>
          <w:kern w:val="0"/>
          <w:sz w:val="32"/>
          <w:szCs w:val="32"/>
          <w:highlight w:val="none"/>
          <w:lang w:val="en-US" w:eastAsia="zh-CN" w:bidi="ar"/>
        </w:rPr>
        <w:t>（十）审批并联办理</w:t>
      </w:r>
      <w:r>
        <w:rPr>
          <w:rFonts w:hint="eastAsia" w:ascii="方正公文仿宋" w:hAnsi="方正公文仿宋" w:eastAsia="方正公文仿宋" w:cs="方正公文仿宋"/>
          <w:b w:val="0"/>
          <w:bCs w:val="0"/>
          <w:color w:val="auto"/>
          <w:kern w:val="0"/>
          <w:sz w:val="32"/>
          <w:szCs w:val="32"/>
          <w:highlight w:val="none"/>
          <w:lang w:val="en-US" w:eastAsia="zh-CN" w:bidi="ar"/>
        </w:rPr>
        <w:t>。</w:t>
      </w:r>
      <w:r>
        <w:rPr>
          <w:rFonts w:hint="eastAsia" w:ascii="方正公文仿宋" w:hAnsi="方正公文仿宋" w:eastAsia="方正公文仿宋" w:cs="方正公文仿宋"/>
          <w:color w:val="auto"/>
          <w:sz w:val="32"/>
          <w:szCs w:val="32"/>
          <w:highlight w:val="none"/>
          <w:lang w:val="en-US" w:eastAsia="zh-CN"/>
        </w:rPr>
        <w:t>新能源项目</w:t>
      </w:r>
      <w:r>
        <w:rPr>
          <w:rFonts w:hint="eastAsia" w:ascii="方正公文仿宋" w:hAnsi="方正公文仿宋" w:eastAsia="方正公文仿宋" w:cs="方正公文仿宋"/>
          <w:color w:val="auto"/>
          <w:sz w:val="32"/>
          <w:szCs w:val="32"/>
          <w:highlight w:val="none"/>
          <w:lang w:eastAsia="zh-CN"/>
        </w:rPr>
        <w:t>，涉及林、草地的，可同步开展使用林、草审核审批工作，并在报有权限的人民政府审批用地前完成。</w:t>
      </w:r>
    </w:p>
    <w:p w14:paraId="3090FA63">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rPr>
          <w:rFonts w:hint="eastAsia" w:ascii="方正公文仿宋" w:hAnsi="方正公文仿宋" w:eastAsia="方正公文仿宋" w:cs="方正公文仿宋"/>
          <w:color w:val="auto"/>
          <w:sz w:val="32"/>
          <w:szCs w:val="32"/>
          <w:highlight w:val="none"/>
        </w:rPr>
      </w:pPr>
      <w:r>
        <w:rPr>
          <w:rFonts w:hint="eastAsia" w:ascii="方正公文仿宋" w:hAnsi="方正公文仿宋" w:eastAsia="方正公文仿宋" w:cs="方正公文仿宋"/>
          <w:b/>
          <w:bCs/>
          <w:color w:val="auto"/>
          <w:kern w:val="0"/>
          <w:sz w:val="32"/>
          <w:szCs w:val="32"/>
          <w:highlight w:val="none"/>
          <w:lang w:val="en-US" w:eastAsia="zh-CN" w:bidi="ar"/>
        </w:rPr>
        <w:t>（十一）不断提升服务效能。</w:t>
      </w:r>
      <w:r>
        <w:rPr>
          <w:rFonts w:hint="eastAsia" w:ascii="方正公文仿宋" w:hAnsi="方正公文仿宋" w:eastAsia="方正公文仿宋" w:cs="方正公文仿宋"/>
          <w:b w:val="0"/>
          <w:bCs w:val="0"/>
          <w:color w:val="auto"/>
          <w:sz w:val="32"/>
          <w:szCs w:val="32"/>
          <w:highlight w:val="none"/>
          <w:lang w:val="en-US" w:eastAsia="zh-CN"/>
        </w:rPr>
        <w:t>各级自然资源、林草、能源主管部门要认真履职尽责，通过优化审查流程、压缩审批时限，提前介入和主动对接，加强业务培训和业务指导等方式，不断提高审批效率。</w:t>
      </w:r>
    </w:p>
    <w:p w14:paraId="3342472E">
      <w:pPr>
        <w:keepNext w:val="0"/>
        <w:keepLines w:val="0"/>
        <w:pageBreakBefore w:val="0"/>
        <w:widowControl w:val="0"/>
        <w:suppressLineNumbers w:val="0"/>
        <w:kinsoku/>
        <w:wordWrap/>
        <w:overflowPunct/>
        <w:topLinePunct w:val="0"/>
        <w:autoSpaceDE/>
        <w:autoSpaceDN/>
        <w:bidi w:val="0"/>
        <w:adjustRightInd w:val="0"/>
        <w:snapToGrid w:val="0"/>
        <w:spacing w:line="640" w:lineRule="exact"/>
        <w:ind w:firstLine="640" w:firstLineChars="200"/>
        <w:jc w:val="both"/>
        <w:textAlignment w:val="auto"/>
        <w:rPr>
          <w:rFonts w:hint="eastAsia" w:ascii="方正公文黑体" w:hAnsi="方正公文黑体" w:eastAsia="方正公文黑体" w:cs="方正公文黑体"/>
          <w:b w:val="0"/>
          <w:bCs w:val="0"/>
          <w:color w:val="auto"/>
          <w:sz w:val="32"/>
          <w:szCs w:val="32"/>
          <w:highlight w:val="none"/>
          <w:lang w:val="en-US" w:eastAsia="zh-CN"/>
        </w:rPr>
      </w:pPr>
      <w:r>
        <w:rPr>
          <w:rFonts w:hint="eastAsia" w:ascii="方正公文黑体" w:hAnsi="方正公文黑体" w:eastAsia="方正公文黑体" w:cs="方正公文黑体"/>
          <w:b w:val="0"/>
          <w:bCs w:val="0"/>
          <w:color w:val="auto"/>
          <w:sz w:val="32"/>
          <w:szCs w:val="32"/>
          <w:highlight w:val="none"/>
          <w:lang w:val="en-US" w:eastAsia="zh-CN"/>
        </w:rPr>
        <w:t>五、加强部门联动，强化用地监管</w:t>
      </w:r>
    </w:p>
    <w:p w14:paraId="7821997A">
      <w:pPr>
        <w:pStyle w:val="2"/>
        <w:spacing w:after="0" w:line="640" w:lineRule="exact"/>
        <w:ind w:firstLine="643" w:firstLineChars="200"/>
        <w:rPr>
          <w:rFonts w:hint="eastAsia" w:ascii="方正公文仿宋" w:hAnsi="方正公文仿宋" w:eastAsia="方正公文仿宋" w:cs="方正公文仿宋"/>
          <w:color w:val="auto"/>
          <w:kern w:val="0"/>
          <w:sz w:val="32"/>
          <w:szCs w:val="32"/>
          <w:highlight w:val="none"/>
          <w:u w:val="single"/>
          <w:shd w:val="clear" w:color="auto" w:fill="FFFFFF"/>
          <w:lang w:val="en-US" w:eastAsia="zh-CN" w:bidi="ar"/>
        </w:rPr>
      </w:pPr>
      <w:r>
        <w:rPr>
          <w:rFonts w:hint="eastAsia" w:ascii="方正公文仿宋" w:hAnsi="方正公文仿宋" w:eastAsia="方正公文仿宋" w:cs="方正公文仿宋"/>
          <w:b/>
          <w:bCs/>
          <w:color w:val="auto"/>
          <w:kern w:val="0"/>
          <w:sz w:val="32"/>
          <w:szCs w:val="32"/>
          <w:highlight w:val="none"/>
          <w:lang w:val="en-US" w:eastAsia="zh-CN" w:bidi="ar"/>
        </w:rPr>
        <w:t>（十二）加强监管和执法</w:t>
      </w:r>
      <w:r>
        <w:rPr>
          <w:rFonts w:hint="eastAsia" w:ascii="方正公文仿宋" w:hAnsi="方正公文仿宋" w:eastAsia="方正公文仿宋" w:cs="方正公文仿宋"/>
          <w:b w:val="0"/>
          <w:bCs w:val="0"/>
          <w:color w:val="auto"/>
          <w:kern w:val="0"/>
          <w:sz w:val="32"/>
          <w:szCs w:val="32"/>
          <w:highlight w:val="none"/>
          <w:lang w:val="en-US" w:eastAsia="zh-CN" w:bidi="ar"/>
        </w:rPr>
        <w:t>。</w:t>
      </w:r>
      <w:r>
        <w:rPr>
          <w:rFonts w:hint="eastAsia" w:ascii="方正公文仿宋" w:hAnsi="方正公文仿宋" w:eastAsia="方正公文仿宋" w:cs="方正公文仿宋"/>
          <w:b w:val="0"/>
          <w:bCs w:val="0"/>
          <w:i w:val="0"/>
          <w:caps w:val="0"/>
          <w:color w:val="auto"/>
          <w:spacing w:val="0"/>
          <w:sz w:val="32"/>
          <w:szCs w:val="32"/>
          <w:highlight w:val="none"/>
          <w:shd w:val="clear" w:color="auto" w:fill="FFFFFF"/>
        </w:rPr>
        <w:t>各</w:t>
      </w:r>
      <w:r>
        <w:rPr>
          <w:rFonts w:hint="eastAsia" w:ascii="方正公文仿宋" w:hAnsi="方正公文仿宋" w:eastAsia="方正公文仿宋" w:cs="方正公文仿宋"/>
          <w:b w:val="0"/>
          <w:bCs w:val="0"/>
          <w:color w:val="auto"/>
          <w:kern w:val="0"/>
          <w:sz w:val="32"/>
          <w:szCs w:val="32"/>
          <w:highlight w:val="none"/>
          <w:lang w:val="en-US" w:eastAsia="zh-CN" w:bidi="ar"/>
        </w:rPr>
        <w:t>级自然资源、林草主管部门要建立项目用地用林用草审查协调联动机制。按照“谁审批、谁监管”的原则，加强对</w:t>
      </w:r>
      <w:r>
        <w:rPr>
          <w:rFonts w:hint="eastAsia" w:ascii="方正公文仿宋" w:hAnsi="方正公文仿宋" w:eastAsia="方正公文仿宋" w:cs="方正公文仿宋"/>
          <w:b w:val="0"/>
          <w:bCs w:val="0"/>
          <w:color w:val="auto"/>
          <w:sz w:val="32"/>
          <w:szCs w:val="32"/>
          <w:highlight w:val="none"/>
          <w:lang w:val="en-US" w:eastAsia="zh-CN"/>
        </w:rPr>
        <w:t>新能源项目</w:t>
      </w:r>
      <w:r>
        <w:rPr>
          <w:rFonts w:hint="eastAsia" w:ascii="方正公文仿宋" w:hAnsi="方正公文仿宋" w:eastAsia="方正公文仿宋" w:cs="方正公文仿宋"/>
          <w:b w:val="0"/>
          <w:bCs w:val="0"/>
          <w:color w:val="auto"/>
          <w:kern w:val="0"/>
          <w:sz w:val="32"/>
          <w:szCs w:val="32"/>
          <w:highlight w:val="none"/>
          <w:lang w:val="en-US" w:eastAsia="zh-CN" w:bidi="ar"/>
        </w:rPr>
        <w:t>的监管。各级自然资源主管部门要将</w:t>
      </w:r>
      <w:r>
        <w:rPr>
          <w:rFonts w:hint="eastAsia" w:ascii="方正公文仿宋" w:hAnsi="方正公文仿宋" w:eastAsia="方正公文仿宋" w:cs="方正公文仿宋"/>
          <w:b w:val="0"/>
          <w:bCs w:val="0"/>
          <w:color w:val="auto"/>
          <w:sz w:val="32"/>
          <w:szCs w:val="32"/>
          <w:highlight w:val="none"/>
          <w:lang w:val="en-US" w:eastAsia="zh-CN"/>
        </w:rPr>
        <w:t>新能源项目</w:t>
      </w:r>
      <w:r>
        <w:rPr>
          <w:rFonts w:hint="eastAsia" w:ascii="方正公文仿宋" w:hAnsi="方正公文仿宋" w:eastAsia="方正公文仿宋" w:cs="方正公文仿宋"/>
          <w:b w:val="0"/>
          <w:bCs w:val="0"/>
          <w:color w:val="auto"/>
          <w:kern w:val="0"/>
          <w:sz w:val="32"/>
          <w:szCs w:val="32"/>
          <w:highlight w:val="none"/>
          <w:lang w:val="en-US" w:eastAsia="zh-CN" w:bidi="ar"/>
        </w:rPr>
        <w:t>纳</w:t>
      </w:r>
      <w:r>
        <w:rPr>
          <w:rFonts w:hint="eastAsia" w:ascii="方正公文仿宋" w:hAnsi="方正公文仿宋" w:eastAsia="方正公文仿宋" w:cs="方正公文仿宋"/>
          <w:b w:val="0"/>
          <w:bCs w:val="0"/>
          <w:i w:val="0"/>
          <w:caps w:val="0"/>
          <w:color w:val="auto"/>
          <w:spacing w:val="0"/>
          <w:kern w:val="2"/>
          <w:sz w:val="32"/>
          <w:szCs w:val="32"/>
          <w:highlight w:val="none"/>
          <w:shd w:val="clear" w:color="auto" w:fill="FFFFFF"/>
          <w:lang w:val="en-US" w:eastAsia="zh-CN" w:bidi="ar-SA"/>
        </w:rPr>
        <w:t>入日常督察执法，及时发现和严肃查处违法违规占地行为。其中，光伏方阵用地以第三次全国国土调查为基础的年度国土变更调查成果为底版，以单独图层进行标注，作为用地监管的基本依据，依法依规进行管理。各级林草主管部门科学评估本地区林草资源与生态状况，合理确定适建区域、建设模式与建设要求，在项目选址、立项论证、设计等阶段参与审查。项目所在地能源主管部门在项目审批（核准、备案）文件中应明确光伏（光热）复合利用模式。</w:t>
      </w:r>
      <w:r>
        <w:rPr>
          <w:rFonts w:hint="eastAsia" w:ascii="方正公文仿宋" w:hAnsi="方正公文仿宋" w:eastAsia="方正公文仿宋" w:cs="方正公文仿宋"/>
          <w:color w:val="auto"/>
          <w:kern w:val="0"/>
          <w:sz w:val="32"/>
          <w:szCs w:val="32"/>
          <w:highlight w:val="none"/>
          <w:u w:val="none"/>
          <w:shd w:val="clear" w:color="auto" w:fill="FFFFFF"/>
          <w:lang w:val="en-US" w:eastAsia="zh-CN" w:bidi="ar"/>
        </w:rPr>
        <w:t>新能源项目需缴纳城镇土地使用税和耕地占用税的，严格按照《青海省人民政府关于明确城镇土地使用税有关事项的通知》（</w:t>
      </w:r>
      <w:r>
        <w:rPr>
          <w:rFonts w:hint="eastAsia" w:ascii="方正公文仿宋" w:hAnsi="方正公文仿宋" w:eastAsia="方正公文仿宋" w:cs="方正公文仿宋"/>
          <w:b w:val="0"/>
          <w:bCs w:val="0"/>
          <w:color w:val="auto"/>
          <w:kern w:val="0"/>
          <w:sz w:val="32"/>
          <w:szCs w:val="32"/>
          <w:highlight w:val="none"/>
          <w:u w:val="none"/>
          <w:shd w:val="clear" w:color="auto" w:fill="FFFFFF"/>
          <w:lang w:val="en-US" w:eastAsia="zh-CN" w:bidi="ar"/>
        </w:rPr>
        <w:t>青政〔2023〕25号</w:t>
      </w:r>
      <w:r>
        <w:rPr>
          <w:rFonts w:hint="eastAsia" w:ascii="方正公文仿宋" w:hAnsi="方正公文仿宋" w:eastAsia="方正公文仿宋" w:cs="方正公文仿宋"/>
          <w:color w:val="auto"/>
          <w:kern w:val="0"/>
          <w:sz w:val="32"/>
          <w:szCs w:val="32"/>
          <w:highlight w:val="none"/>
          <w:u w:val="none"/>
          <w:shd w:val="clear" w:color="auto" w:fill="FFFFFF"/>
          <w:lang w:val="en-US" w:eastAsia="zh-CN" w:bidi="ar"/>
        </w:rPr>
        <w:t>）等相关规定执行。</w:t>
      </w:r>
    </w:p>
    <w:p w14:paraId="7E5BB01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宋体"/>
    <w:panose1 w:val="02000000000000000000"/>
    <w:charset w:val="86"/>
    <w:family w:val="auto"/>
    <w:pitch w:val="default"/>
    <w:sig w:usb0="00000000" w:usb1="00000000" w:usb2="00000000" w:usb3="00000000" w:csb0="00040000" w:csb1="00000000"/>
  </w:font>
  <w:font w:name="方正公文仿宋">
    <w:altName w:val="仿宋"/>
    <w:panose1 w:val="02000000000000000000"/>
    <w:charset w:val="86"/>
    <w:family w:val="auto"/>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ZjJkOGExYzkwNWRlNDU1YTUxMWMzODJjNTlkODcifQ=="/>
  </w:docVars>
  <w:rsids>
    <w:rsidRoot w:val="00000000"/>
    <w:rsid w:val="1AC8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2024-11-25T08:59:12Z</dcterms:created>
  <dc:creator>jyqfs</dc:creator>
  <cp:lastModifiedBy>jyqfs</cp:lastModifiedBy>
  <dcterms:modified xsi:type="dcterms:W3CDTF">2024-11-25T08:59:14Z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6D67D84D6C5A4474A4B00EAF218083F9_12</vt:lpwstr>
  </property>
</Properties>
</file>