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青海隆安煤业股份有限公司大柴旦行委绿草沟煤矿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抵押备案号：〔2023〕21号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青海隆安煤业股份有限公司大柴旦行委绿草沟煤矿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C6300002009071110028082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22年10月13日至2024年10月13日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3年11月16日至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vAlign w:val="center"/>
          </w:tcPr>
          <w:p>
            <w:pPr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青海隆安煤业股份有限公司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916300007814409135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vAlign w:val="center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w w:val="90"/>
              </w:rPr>
              <w:t>青海柴达木农村商业银行股份有限公司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91632800710507113B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抵押</w:t>
            </w:r>
          </w:p>
        </w:tc>
      </w:tr>
    </w:tbl>
    <w:p/>
    <w:p/>
    <w:sectPr>
      <w:pgSz w:w="11906" w:h="16838"/>
      <w:pgMar w:top="1389" w:right="567" w:bottom="1389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mNlOGNjNDgzYzFmNjRkYzA0NWNkYTJkMGRhOWIifQ=="/>
  </w:docVars>
  <w:rsids>
    <w:rsidRoot w:val="25F173D4"/>
    <w:rsid w:val="25F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二级标题"/>
    <w:basedOn w:val="2"/>
    <w:qFormat/>
    <w:uiPriority w:val="0"/>
    <w:pPr>
      <w:adjustRightInd w:val="0"/>
      <w:snapToGrid w:val="0"/>
      <w:spacing w:before="0" w:after="0" w:line="360" w:lineRule="auto"/>
      <w:ind w:firstLine="720" w:firstLineChars="200"/>
    </w:pPr>
    <w:rPr>
      <w:rFonts w:ascii="Times New Roman" w:hAnsi="Times New Roman" w:eastAsia="楷体_GB2312"/>
      <w:b w:val="0"/>
      <w:bCs w:val="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>露仔</dc:creator>
  <cp:lastModifiedBy>露仔</cp:lastModifiedBy>
  <dcterms:modified xsi:type="dcterms:W3CDTF">2023-11-21T09:40:17Z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A43BC4BFE5624E29A351905349A0B3EC_11</vt:lpwstr>
  </property>
</Properties>
</file>