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起草</w:t>
      </w:r>
      <w:r>
        <w:rPr>
          <w:rFonts w:hint="eastAsia"/>
          <w:b/>
          <w:sz w:val="36"/>
          <w:szCs w:val="36"/>
        </w:rPr>
        <w:t>说明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一、起草背景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为进一步健全矿产资源有偿使用制度，规范矿业权出让收益征收管理，维护矿产资源国家所有者权益，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2023年3月</w:t>
      </w:r>
      <w:r>
        <w:rPr>
          <w:rFonts w:hint="eastAsia" w:ascii="仿宋_GB2312" w:hAnsi="仿宋" w:eastAsia="仿宋_GB2312"/>
          <w:sz w:val="32"/>
          <w:szCs w:val="32"/>
        </w:rPr>
        <w:t>财政部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、自然</w:t>
      </w:r>
      <w:r>
        <w:rPr>
          <w:rFonts w:hint="eastAsia" w:ascii="仿宋_GB2312" w:hAnsi="仿宋" w:eastAsia="仿宋_GB2312"/>
          <w:sz w:val="32"/>
          <w:szCs w:val="32"/>
        </w:rPr>
        <w:t>资源部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、税务总局印发了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hAnsi="仿宋" w:eastAsia="仿宋_GB2312"/>
          <w:sz w:val="32"/>
          <w:szCs w:val="32"/>
        </w:rPr>
        <w:t>矿业权出让收益征收办法》（财综〔20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号），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省级自然资源主管部门、财政部门参照国家的指导意见制定起始价征收标准，报省级人民政府同意后公布执行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二、起草依据及过程</w:t>
      </w:r>
    </w:p>
    <w:p>
      <w:pPr>
        <w:spacing w:line="60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hAnsi="仿宋" w:eastAsia="仿宋_GB2312"/>
          <w:sz w:val="32"/>
          <w:szCs w:val="32"/>
        </w:rPr>
        <w:t>矿业权出让收益征收办法》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要求煤炭、铁矿等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144种矿产按矿业权出让收益率形式征收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矿业权出让收益，矿业权出让收益由“探矿权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(采矿权)成交价”和“逐年征收的采矿权出让收益”组成，其中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“探矿权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(采矿权)成交价”是以“起始价”为基础确定招拍挂底价或协议出让成交价。2023年8月自然资源部和财政部印发了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自然资源部财政部关于制定矿业权出让收益起始价标准的指导意见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》(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自然资发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〔2023〕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166号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，以下简称“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《指导意见》”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)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，我厅会同省财政厅参照《指导意见》，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依据矿业权面积，综合考虑成矿条件、勘查程度等因素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，并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充分考虑促进我省探矿权出让市场活跃，降低探矿权取得门槛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，最终</w:t>
      </w:r>
      <w:r>
        <w:rPr>
          <w:rFonts w:hint="eastAsia" w:ascii="仿宋_GB2312" w:eastAsia="仿宋_GB2312"/>
          <w:sz w:val="32"/>
          <w:szCs w:val="32"/>
        </w:rPr>
        <w:t>研究</w:t>
      </w:r>
      <w:r>
        <w:rPr>
          <w:rFonts w:hint="eastAsia" w:ascii="仿宋_GB2312" w:eastAsia="仿宋_GB2312"/>
          <w:sz w:val="32"/>
          <w:szCs w:val="32"/>
          <w:lang w:eastAsia="zh-CN"/>
        </w:rPr>
        <w:t>确定</w:t>
      </w:r>
      <w:r>
        <w:rPr>
          <w:rFonts w:hint="eastAsia" w:ascii="仿宋_GB2312" w:eastAsia="仿宋_GB2312"/>
          <w:sz w:val="32"/>
          <w:szCs w:val="32"/>
        </w:rPr>
        <w:t>了《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青海省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非油气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矿业权出让收益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起始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标准</w:t>
      </w:r>
      <w:r>
        <w:rPr>
          <w:rFonts w:hint="eastAsia" w:ascii="仿宋_GB2312" w:eastAsia="仿宋_GB2312"/>
          <w:sz w:val="32"/>
          <w:szCs w:val="32"/>
        </w:rPr>
        <w:t>》（以下简称“</w:t>
      </w:r>
      <w:r>
        <w:rPr>
          <w:rFonts w:hint="eastAsia" w:ascii="仿宋_GB2312" w:eastAsia="仿宋_GB2312"/>
          <w:sz w:val="32"/>
          <w:szCs w:val="32"/>
          <w:lang w:eastAsia="zh-CN"/>
        </w:rPr>
        <w:t>起始价标准</w:t>
      </w:r>
      <w:r>
        <w:rPr>
          <w:rFonts w:hint="eastAsia" w:ascii="仿宋_GB2312" w:eastAsia="仿宋_GB2312"/>
          <w:sz w:val="32"/>
          <w:szCs w:val="32"/>
        </w:rPr>
        <w:t>”）</w:t>
      </w:r>
      <w:r>
        <w:rPr>
          <w:rFonts w:hint="eastAsia" w:ascii="仿宋_GB2312" w:eastAsia="仿宋_GB2312"/>
          <w:sz w:val="32"/>
          <w:szCs w:val="32"/>
          <w:lang w:eastAsia="zh-CN"/>
        </w:rPr>
        <w:t>，标准与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《指导意见》中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非油气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矿业权出让收益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起始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标准一致。</w:t>
      </w:r>
    </w:p>
    <w:p>
      <w:pPr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三、主要内容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本次确定我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非油气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矿业权出让收益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起始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2万元每平方公里，通过成矿地质条件调整系数和勘查工作程度调整系数进行调整，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其中成矿地质条件分为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简单型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中等型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复杂型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三个类型，调整系数分别为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2.5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勘查工作程度分为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草根阶段、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普查阶段、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详查阶段、勘探阶段四个阶段，调整系数分别为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1、2、4、6。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具体见《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青海省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非油气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矿业权出让收益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起始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起始价=起始价标准×成矿地质条件调整系数×勘查工作程度调整系数×矿业权面积。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</w:t>
      </w:r>
      <w:r>
        <w:rPr>
          <w:rFonts w:hint="eastAsia" w:ascii="黑体" w:eastAsia="黑体"/>
          <w:sz w:val="32"/>
          <w:szCs w:val="32"/>
          <w:lang w:eastAsia="zh-CN"/>
        </w:rPr>
        <w:t>下一步工作</w:t>
      </w:r>
    </w:p>
    <w:p>
      <w:pPr>
        <w:ind w:firstLine="640" w:firstLineChars="200"/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在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eastAsia="zh-CN"/>
        </w:rPr>
        <w:t>广泛征求社会和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各市州政府、省直相关部门意见后，会同省财政厅报省政府同意后公布执行。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E40F4"/>
    <w:rsid w:val="0F3E40F4"/>
    <w:rsid w:val="1025715B"/>
    <w:rsid w:val="1AE96B21"/>
    <w:rsid w:val="23D91226"/>
    <w:rsid w:val="287A5145"/>
    <w:rsid w:val="35126D1A"/>
    <w:rsid w:val="36822E0C"/>
    <w:rsid w:val="3A633976"/>
    <w:rsid w:val="3AA57C11"/>
    <w:rsid w:val="53FF39D1"/>
    <w:rsid w:val="699F17AE"/>
    <w:rsid w:val="70D2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2023-09-07T03:20:00Z</dcterms:created>
  <dc:creator>LENOVO</dc:creator>
  <cp:lastModifiedBy>LENOVO</cp:lastModifiedBy>
  <cp:lastPrinted>2023-11-06T00:36:26Z</cp:lastPrinted>
  <dcterms:modified xsi:type="dcterms:W3CDTF">2023-11-06T01:05:37Z</dcterms:modified>
  <dc:title>起草说明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