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0" w:afterAutospacing="0" w:line="55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sz w:val="36"/>
          <w:szCs w:val="36"/>
          <w:shd w:val="clear" w:fill="FFFFFF"/>
          <w:lang w:eastAsia="zh-CN"/>
        </w:rPr>
        <w:t>厅直属机关</w:t>
      </w:r>
      <w:r>
        <w:rPr>
          <w:rFonts w:hint="eastAsia" w:ascii="方正小标宋简体" w:hAnsi="方正小标宋简体" w:eastAsia="方正小标宋简体" w:cs="方正小标宋简体"/>
          <w:i w:val="0"/>
          <w:sz w:val="36"/>
          <w:szCs w:val="36"/>
          <w:shd w:val="clear" w:fill="FFFFFF"/>
        </w:rPr>
        <w:t>日常监督工作办法（试行）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强化厅直属机关纪委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把日常监督做实做细</w:t>
      </w:r>
      <w:r>
        <w:rPr>
          <w:rFonts w:hint="eastAsia" w:ascii="仿宋_GB2312" w:hAnsi="仿宋_GB2312" w:eastAsia="仿宋_GB2312" w:cs="仿宋_GB2312"/>
          <w:sz w:val="32"/>
          <w:szCs w:val="32"/>
        </w:rPr>
        <w:t>，依据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《中国共产党章程》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《中国共产党党内监督条例》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《中国共产党问责条例》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《中国共产党纪律检查机关监督执纪工作规则》等有关法规制度，结合实际，制定本办法。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日常监督要坚持以习近平新时代中国特色社会主义思想为指导，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，做实日常监督，强化精准监督，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以“惩前毖后、治病救人”为目的，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纪律监督、监察监督、派驻监督、巡视监督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全覆盖的监督格局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，一体推进不敢腐、不能腐、不想腐，营造风清气正、干事创业的政治生态。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日常监督是纪检机关的基础性经常性工作，是做实监督的重要抓手。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厅直属机关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纪委应当结合被监督对象的职责，加强对行使权力情况的日常监督，通过多种方式了解被监督对象的思想、工作、作风、生活情况，发现苗头性、倾向性问题或者轻微违纪问题，应当及时约谈提醒、批评教育、责令检查、诫勉谈话，增强监督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监督工作必须坚持和加强党的领导，围绕中心，服务大局；坚持实事求是，依规依纪依法；坚持严管厚爱相结合，激励约束并重；坚持问题导向，抓早抓小、防微杜渐，精准有效运用监督执纪“四种形态”；坚持统筹谋划、协同推进，主动作为、守正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日常监督要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做到对厅直属单位全覆盖，按照干部管理权限和授权，重点对厅直属机关党委及其管理的党组织、党组织领导班子成员和行使公权力的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“关键少数”和重要岗位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坚持党中央决策部署到哪里，监督检查就跟进到哪里。紧盯落实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党章党规党纪和法律法规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贯彻执行党和国家的路线方针政策以及重大决策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决议情况、落实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本部门、本行业、本领域指示批示精神和党中央重大决策部署情况、履行全面从严治党情况，坚决查处有令不行、有禁不止等行为，充分发挥监督保障执行、促进完善发展作用，确保习近平总书记指示批示政治要件、党中央重大决策部署和省委工作要求不折不扣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直属机关党委及其管理的党组织、党组织领导班子成员履行全面从严治党主体责任，党组织负责人履行第一责任人职责，班子成员履行“一岗双责”，一体推进不敢腐、不能腐、不想腐机制建设，净化政治生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中央八项规定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及其实施细则精神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加强作风建设，纠治享乐主义、奢靡之风，深入整治形式主义、官僚主义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坚守重要节点，紧盯薄弱环节，深挖细查“四风”顶风违纪、隐形变异等问题情况。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坚持民主集中制、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执行“三重一大”民主决策、请示报告制度等情况。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严肃党内政治生活情况、落实“三会一课”、民主生活会、组织生活会、主题党日、个人重大事项报告制度等情况。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开展巡视问题整改，巡察问题整改、落实纪律检查建议、监察建议、建章立制情况。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规范权力运行情况，重点是权力运行和制约、廉政风险防控等情况。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遵守廉洁自律有关规定，重点是社会兼职、婚姻变化、配偶子女从业、出国（境）等情况。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其他需要监督的情况。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日常监督的主要方式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专项检查。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聚焦贯彻落实习近平总书记重要指示批示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政治要件</w:t>
      </w:r>
      <w:r>
        <w:rPr>
          <w:rFonts w:hint="eastAsia" w:ascii="仿宋_GB2312" w:hAnsi="仿宋_GB2312" w:eastAsia="仿宋_GB2312" w:cs="仿宋_GB2312"/>
          <w:sz w:val="32"/>
          <w:szCs w:val="32"/>
        </w:rPr>
        <w:t>和党中央重大决策部署等情况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突出问题导向, 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直属机关各部门各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单位开展专项检查, 重点检查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阶段推进、整改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政治生态研判。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综合日常了解掌握情况, 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厅直属机关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政治生态的整体状况进行分析研判, 全面把握“树木”和“森林”的关系, 提出加强和改进意见及工作措施。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问题线索处置。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对发现和接收的问题线索进行归口报送、建立台账、集中管理、汇总分析、定期清理, 按照谈话函询、初步核实、暂存待查、予以了结四类方式提出处置意见,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纪委书记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审批后办理, 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做到件件有着落。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廉政档案建立。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直属机关科级干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、管理岗干部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廉政档案, 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反映廉政情况的信息, 归口负责、一人一档,动态更新。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（五）抽查检查。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抽查检查相关文件、档案、卷宗、会议记录、财务账目资料等方式，对发现的问题分类处置、督促整改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（六）廉政谈话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主动监督、靠前监督, 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厅直属机关党委及其管理的党组织、党组织领导班子成员和行使公权力的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“关键少数”和重要岗位人员等视情况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廉政谈话</w:t>
      </w:r>
      <w:r>
        <w:rPr>
          <w:rFonts w:hint="eastAsia" w:ascii="仿宋_GB2312" w:hAnsi="仿宋_GB2312" w:eastAsia="仿宋_GB2312" w:cs="仿宋_GB2312"/>
          <w:sz w:val="32"/>
          <w:szCs w:val="32"/>
        </w:rPr>
        <w:t>, 及时进行教育提醒。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sz w:val="32"/>
          <w:szCs w:val="32"/>
        </w:rPr>
        <w:t>谈话函询。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综合运用谈话和函询手段, 认真核实谈话记录和函询回复情况, 及时处置发现的苗头性、倾向性问题或轻微违纪问题。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z w:val="32"/>
          <w:szCs w:val="32"/>
        </w:rPr>
        <w:t>参加民主生活会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和组织生活会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重点了解掌握履行“两个责任”,落实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巡视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、巡察整改，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班子成员廉洁自律、工作作风以及上一次民主生活会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、组织生活会</w:t>
      </w:r>
      <w:r>
        <w:rPr>
          <w:rFonts w:hint="eastAsia" w:ascii="仿宋_GB2312" w:hAnsi="仿宋_GB2312" w:eastAsia="仿宋_GB2312" w:cs="仿宋_GB2312"/>
          <w:sz w:val="32"/>
          <w:szCs w:val="32"/>
        </w:rPr>
        <w:t>查摆问题整改等情况。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（九）</w:t>
      </w:r>
      <w:r>
        <w:rPr>
          <w:rFonts w:hint="eastAsia" w:ascii="楷体_GB2312" w:hAnsi="楷体_GB2312" w:eastAsia="楷体_GB2312" w:cs="楷体_GB2312"/>
          <w:sz w:val="32"/>
          <w:szCs w:val="32"/>
        </w:rPr>
        <w:t>述责述廉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述责述廉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对直属机关科级干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、管理岗干部贯彻落实习近平总书记重要指示批示，执行政治纪律和政治规矩，履行管党治党责任、强化巡视巡察整改落实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推进党风廉政建设和反腐败工作以及执行廉洁纪律情况进行监督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（十）</w:t>
      </w:r>
      <w:r>
        <w:rPr>
          <w:rFonts w:hint="eastAsia" w:ascii="楷体_GB2312" w:hAnsi="楷体_GB2312" w:eastAsia="楷体_GB2312" w:cs="楷体_GB2312"/>
          <w:sz w:val="32"/>
          <w:szCs w:val="32"/>
        </w:rPr>
        <w:t>党风廉政意见回复。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部门在干部选拔任用等工作中征求党风廉政意见的,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按照厅直属机关廉政回复，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要认真核查反映的问题线索,并综合日常工作中掌握的情况, 加强分析研判, 严把政治关、品行关、作风关、廉洁关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审慎回复, 该暂缓的坚决暂缓、该否决的坚决否决。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（十一）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提出纪律检查建议。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对监督检查中发现的突出问题, 应当向有关党组织或者单位提出纪律检查建议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并跟进督查督办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（十二）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其他监督方式。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针对日常监督中发现的问题, 统筹考虑性质情节、后果影响、认错悔错态度等情况, 精准有效运用“四种形态”进行处置, 该批评教育的批评教育, 该给予党纪处分的给予党纪处分, 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严格落实重大事项报告制度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, 实现政治效果、纪法效果、社会效果的相统一。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厅直属机关纪委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厅直属机关各部门各单位纪检机关、纪检人员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在日常监督上的领导，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厅直属机关各部门各单位纪检机关和纪检工作人员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开展日常监督工作的督促指导。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厅直属机关各部门各单位纪检机关、纪检工作人员应当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参照本规定开展日常监督工作。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本办法自印发之日起执行。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D5BD7"/>
    <w:rsid w:val="02620C55"/>
    <w:rsid w:val="04C67DED"/>
    <w:rsid w:val="0D277DF3"/>
    <w:rsid w:val="10DF3420"/>
    <w:rsid w:val="19785CB0"/>
    <w:rsid w:val="1BD24742"/>
    <w:rsid w:val="1D6F295C"/>
    <w:rsid w:val="1FDC17EA"/>
    <w:rsid w:val="2F242833"/>
    <w:rsid w:val="336909A8"/>
    <w:rsid w:val="33C979A6"/>
    <w:rsid w:val="386D5BD7"/>
    <w:rsid w:val="3E35701E"/>
    <w:rsid w:val="44103412"/>
    <w:rsid w:val="447C5C3C"/>
    <w:rsid w:val="44E434E1"/>
    <w:rsid w:val="49094457"/>
    <w:rsid w:val="4B607034"/>
    <w:rsid w:val="522C32EE"/>
    <w:rsid w:val="53060E37"/>
    <w:rsid w:val="5D0C2809"/>
    <w:rsid w:val="5D5C07ED"/>
    <w:rsid w:val="5DB217B8"/>
    <w:rsid w:val="64CE7A03"/>
    <w:rsid w:val="70CF4112"/>
    <w:rsid w:val="72FD3687"/>
    <w:rsid w:val="7B82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2021-02-04T06:52:00Z</dcterms:created>
  <dc:creator>Lenovo</dc:creator>
  <cp:lastModifiedBy>NTKO</cp:lastModifiedBy>
  <dcterms:modified xsi:type="dcterms:W3CDTF">2021-05-24T07:04:34Z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