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after="20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青海省自然资源厅实施《青海省妇女儿童发展规划（2011-2020年）》终期评估报告</w:t>
      </w:r>
    </w:p>
    <w:p>
      <w:pPr>
        <w:pStyle w:val="4"/>
        <w:spacing w:after="200" w:line="276" w:lineRule="auto"/>
        <w:rPr>
          <w:rFonts w:hint="eastAsia"/>
        </w:rPr>
      </w:pPr>
    </w:p>
    <w:p>
      <w:pPr>
        <w:pStyle w:val="4"/>
        <w:spacing w:after="200" w:line="276" w:lineRule="auto"/>
        <w:ind w:firstLine="640" w:firstLineChars="200"/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我厅实施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《青海省妇女儿童发展规划（2011-2020年）》工作，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坚持以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习近平新时代中国特色社会主义思想为指导，坚持新发展理念，细致扎实落实</w:t>
      </w:r>
      <w:r>
        <w:rPr>
          <w:rFonts w:hint="eastAsia" w:ascii="仿宋_GB2312" w:hAnsi="仿宋_GB2312" w:eastAsia="仿宋_GB2312" w:cs="仿宋_GB2312"/>
          <w:sz w:val="32"/>
          <w:szCs w:val="32"/>
        </w:rPr>
        <w:t>省妇儿工委各项工作要求，认真研究细化涉及自然资源领域各项指标要求，《青海省妇女儿童发展规划（2011-2020年）》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在自然资源领域得到有效落实。现将主要工作情况报告如下：</w:t>
      </w:r>
    </w:p>
    <w:p>
      <w:pPr>
        <w:pStyle w:val="4"/>
        <w:spacing w:after="200" w:line="276" w:lineRule="auto"/>
        <w:ind w:firstLine="640" w:firstLineChars="200"/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一、主要工作情况</w:t>
      </w:r>
    </w:p>
    <w:p>
      <w:pPr>
        <w:pStyle w:val="4"/>
        <w:spacing w:after="200" w:line="276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一是提高认识，切实加强妇儿工作的组织领导</w:t>
      </w:r>
      <w:r>
        <w:rPr>
          <w:rFonts w:hint="eastAsia" w:ascii="仿宋_GB2312" w:hAnsi="仿宋_GB2312" w:eastAsia="仿宋_GB2312" w:cs="仿宋_GB2312"/>
          <w:sz w:val="32"/>
          <w:szCs w:val="32"/>
        </w:rPr>
        <w:t>。注重把自然资源管理领域妇儿工作，作为自然资源服务保障的重要内容，认真贯彻落实全省妇儿工委会议精神，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抓好工作落实，</w:t>
      </w:r>
      <w:r>
        <w:rPr>
          <w:rFonts w:hint="eastAsia" w:ascii="仿宋_GB2312" w:hAnsi="仿宋_GB2312" w:eastAsia="仿宋_GB2312" w:cs="仿宋_GB2312"/>
          <w:sz w:val="32"/>
          <w:szCs w:val="32"/>
        </w:rPr>
        <w:t>成立了由厅领导牵头，厅机关法规、人事、机关党委、工会及相关专业处室主要负责人组成的妇儿工作机构，进一步明确了工作职责和任务分工，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统筹协调推进涉及妇儿工作相关领域工作，并不断</w:t>
      </w:r>
      <w:r>
        <w:rPr>
          <w:rFonts w:hint="eastAsia" w:ascii="仿宋_GB2312" w:hAnsi="仿宋_GB2312" w:eastAsia="仿宋_GB2312" w:cs="仿宋_GB2312"/>
          <w:sz w:val="32"/>
          <w:szCs w:val="32"/>
        </w:rPr>
        <w:t>在妇女干部使用、权益保障、法规制度等方面着重予以加强，确保目标任务的有效落实。</w:t>
      </w:r>
    </w:p>
    <w:p>
      <w:pPr>
        <w:pStyle w:val="4"/>
        <w:spacing w:after="200" w:line="276" w:lineRule="auto"/>
        <w:ind w:firstLine="640" w:firstLineChars="200"/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color w:val="000000"/>
          <w:kern w:val="0"/>
          <w:sz w:val="32"/>
          <w:szCs w:val="32"/>
        </w:rPr>
        <w:t>二是强化自然资源领域妇儿权益保障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推进起草自然资源和不动产管理法规草案，制定规范性文件和相关标准规范，处理信访矛盾纠纷时，注重保障（保护）妇女儿童权益，与省妇联共同印发《关于在农村土地经营权、宅基地使用权、房屋所有权确权登记颁证工作中依法维护妇女权益的意见》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在组织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起草自然资源政策法规，编制国土空间规划和受办理各类信访矛盾纠纷等方面，统筹兼顾妇女儿童工作要求。在指导市（州）、县开展农村宅基地、房屋等不动产确权登记发证工作中，严格依法保障妇女儿童权益。认真贯彻落实国务院办公厅《关于促进3岁以下婴幼儿照护服务发展的指导意见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国办发〔2019〕15号），</w:t>
      </w:r>
      <w:r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  <w:t>加强用地保障，将婴幼儿照护服务机构和设施建设用地纳入土地利用总体规划、城乡规划和年度用地计划并优先予以保障，农用地转用指标、新增用地指标分配适当向婴幼儿照护服务机构和设施建设用地倾斜。鼓励利用低效土地或闲置土地建设婴幼儿照护服务机构和设施。对婴幼儿照护服务设施和非营利性婴幼儿照护服务机构建设用地，符合《划拨用地目录》的，采取划拨方式予以保障。</w:t>
      </w:r>
    </w:p>
    <w:p>
      <w:pPr>
        <w:pStyle w:val="4"/>
        <w:spacing w:after="200" w:line="276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三是积极做好结对共建工作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积极加强与大通回族土族自治县妇儿工委的沟通协调和工作衔接，签订了《共建协议书》，协调资金5万元用于该县东峡镇衙门庄乡“儿童之家”建设，“儿童之家”当年建成并投入使用，目前，已形成了“社区+社工+志愿者”三位一体的管护服务模式，承担起了所在社区60余名学龄儿童的学习辅导和课后管护工作。在此基础上，又共同创办了省自然资源厅基层法律服务点，2次组织所在社区群众开展民法典宣讲、妇女儿童权益保护法律讲座，并就群众关心的婚姻、劳动保障等法律问题，提供面对面咨询服务，受到群众好评。</w:t>
      </w:r>
    </w:p>
    <w:p>
      <w:pPr>
        <w:pStyle w:val="4"/>
        <w:spacing w:after="200" w:line="276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是扎实完成《青海省妇女儿童发展规划（2021—2030年）》起草工作。与省妇联、省公安厅一起就新《两规》中“妇女与法律”“妇女与家庭建设”“儿童与家庭”等内容，提出和完善了相关策略措施，为新《两规》编制起草拿出了自然资源方案。</w:t>
      </w:r>
    </w:p>
    <w:p>
      <w:pPr>
        <w:pStyle w:val="4"/>
        <w:spacing w:after="200" w:line="276" w:lineRule="auto"/>
        <w:ind w:firstLine="640" w:firstLineChars="200"/>
        <w:rPr>
          <w:rFonts w:hint="eastAsia" w:ascii="Times New Roman" w:hAnsi="Times New Roman" w:eastAsia="仿宋_GB2312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二、下步工作打算</w:t>
      </w:r>
    </w:p>
    <w:p>
      <w:pPr>
        <w:pStyle w:val="4"/>
        <w:spacing w:after="200" w:line="276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进一步细化完善新《两规》指标措施。进一步加强顶层设计，强化服务保障，不断加强妇女儿童在自然资源领域的权益保护。</w:t>
      </w:r>
    </w:p>
    <w:p>
      <w:pPr>
        <w:pStyle w:val="4"/>
        <w:spacing w:after="200" w:line="276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在组织开展省级国土空间规划编制工作中，积极与妇女儿童事业发展规划进行对接，统筹考虑全省妇女儿童事业发展空间布局，特别是在卫生、教育、体育、文化、养老等公共管理与公共服务设施用地需求方面，发挥国土空间规划的基础性和对专项规划的指导约束作用，推动全省妇女儿童事业实现高质量发展。</w:t>
      </w:r>
    </w:p>
    <w:p>
      <w:pPr>
        <w:pStyle w:val="4"/>
        <w:spacing w:after="200" w:line="276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进一步巩固和发挥好结对共建成果。立足工作实际，坚持把“好事办好”，不断丰富和完善“儿童之家”建设，通过陆续开办周末“七彩”公益课堂、“绿荫”暑期课堂、“暖冬”寒假课堂等活动，使更多学生受益。结合《妇女儿童权益保护法》宣传和自然资源管理领域法规政策宣讲，年内组织不少于2次送法律进社区、进乡村、进学校活动，帮助共建地区妇女儿童在维权、生态环保、劳动保障等方面开展法律服务活动。</w:t>
      </w:r>
    </w:p>
    <w:p>
      <w:pPr>
        <w:pStyle w:val="4"/>
        <w:spacing w:after="200" w:line="276" w:lineRule="auto"/>
        <w:rPr>
          <w:rFonts w:hint="eastAsia"/>
        </w:rPr>
      </w:pPr>
    </w:p>
    <w:p>
      <w:pPr>
        <w:pStyle w:val="4"/>
        <w:spacing w:after="200" w:line="276" w:lineRule="auto"/>
        <w:rPr>
          <w:rFonts w:hint="eastAsia"/>
        </w:rPr>
      </w:pPr>
    </w:p>
    <w:p>
      <w:pPr>
        <w:pStyle w:val="4"/>
        <w:spacing w:after="200" w:line="276" w:lineRule="auto"/>
        <w:rPr>
          <w:rFonts w:hint="eastAsia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ind w:left="3" w:hanging="3" w:hangingChars="1"/>
        <w:jc w:val="left"/>
        <w:rPr>
          <w:rFonts w:hint="eastAsia" w:ascii="仿宋_GB2312" w:eastAsia="仿宋_GB2312"/>
          <w:sz w:val="32"/>
        </w:rPr>
      </w:pPr>
    </w:p>
    <w:p>
      <w:pPr>
        <w:spacing w:before="50" w:line="500" w:lineRule="exact"/>
        <w:ind w:left="842" w:hanging="842" w:hangingChars="401"/>
        <w:rPr>
          <w:rFonts w:hint="eastAsia" w:ascii="黑体" w:eastAsia="黑体" w:cs="黑体"/>
          <w:szCs w:val="32"/>
        </w:rPr>
      </w:pPr>
    </w:p>
    <w:p>
      <w:pPr>
        <w:spacing w:before="50" w:line="500" w:lineRule="exact"/>
        <w:ind w:left="1005" w:leftChars="100" w:hanging="795" w:hangingChars="379"/>
        <w:rPr>
          <w:rFonts w:hint="eastAsia" w:ascii="仿宋_GB2312" w:eastAsia="仿宋_GB2312" w:cs="仿宋_GB2312"/>
          <w:sz w:val="28"/>
          <w:szCs w:val="28"/>
        </w:rPr>
      </w:pPr>
      <w:r>
        <w:rPr>
          <w:szCs w:val="24"/>
          <w:lang w:bidi="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15240</wp:posOffset>
                </wp:positionV>
                <wp:extent cx="5622925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292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top:1.2pt;height:0pt;width:442.75pt;mso-position-horizontal:center;z-index:251659264;mso-width-relative:page;mso-height-relative:page;" fillcolor="#FFFFFF" filled="t" coordsize="21600,21600" o:gfxdata="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6U6vXUAAAABAEAAA8AAAAAAAAAAQAgAAAAIgAAAGRycy9kb3ducmV2LnhtbFBLAQIUABQA&#10;AAAIAIdO4kDHXKhs9AEAAOUDAAAOAAAAAAAAAAEAIAAAACMBAABkcnMvZTJvRG9jLnhtbFBLBQYA&#10;AAAABgAGAFkBAACJBQAAAAA=&#10;">
                <v:path arrowok="t"/>
                <v:fill on="t" focussize="0,0"/>
                <v:stroke weight="1pt"/>
                <v:imagedata o:title=""/>
                <o:lock v:ext="edit"/>
              </v:line>
            </w:pict>
          </mc:Fallback>
        </mc:AlternateContent>
      </w:r>
      <w:r>
        <w:rPr>
          <w:rFonts w:hint="eastAsia" w:ascii="仿宋_GB2312" w:eastAsia="仿宋_GB2312" w:cs="仿宋_GB2312"/>
          <w:sz w:val="28"/>
          <w:szCs w:val="28"/>
          <w:lang w:bidi="ar"/>
        </w:rPr>
        <w:t>抄送</w: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：</w:t>
      </w:r>
      <w:bookmarkStart w:id="0" w:name="caosong"/>
      <w:bookmarkEnd w:id="0"/>
      <w:r>
        <w:rPr>
          <w:rFonts w:hint="eastAsia" w:ascii="仿宋_GB2312" w:hAnsi="宋体" w:eastAsia="仿宋_GB2312" w:cs="仿宋_GB2312"/>
          <w:sz w:val="28"/>
          <w:szCs w:val="28"/>
          <w:lang w:eastAsia="zh-CN" w:bidi="ar"/>
        </w:rPr>
        <w:t>存档。</w:t>
      </w:r>
    </w:p>
    <w:p>
      <w:pPr>
        <w:spacing w:before="50" w:line="540" w:lineRule="exact"/>
        <w:ind w:firstLine="210" w:firstLineChars="100"/>
        <w:rPr>
          <w:rFonts w:hint="eastAsia" w:ascii="仿宋_GB2312" w:eastAsia="仿宋_GB2312"/>
          <w:sz w:val="28"/>
        </w:rPr>
      </w:pPr>
      <w:r>
        <w:rPr>
          <w:szCs w:val="24"/>
          <w:lang w:bidi="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436245</wp:posOffset>
                </wp:positionV>
                <wp:extent cx="562292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292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4pt;margin-top:34.35pt;height:0pt;width:442.75pt;z-index:251660288;mso-width-relative:page;mso-height-relative:page;" fillcolor="#FFFFFF" filled="t" coordsize="21600,21600" o:gfxdata="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4I9uLdUAAAAGAQAADwAAAAAAAAABACAAAAAiAAAAZHJzL2Rvd25yZXYueG1sUEsBAhQA&#10;FAAAAAgAh07iQGyRz9P1AQAA5QMAAA4AAAAAAAAAAQAgAAAAJAEAAGRycy9lMm9Eb2MueG1sUEsF&#10;BgAAAAAGAAYAWQEAAIsFAAAAAA==&#10;">
                <v:path arrowok="t"/>
                <v:fill on="t" focussize="0,0"/>
                <v:stroke weight="1pt"/>
                <v:imagedata o:title=""/>
                <o:lock v:ext="edit"/>
              </v:line>
            </w:pict>
          </mc:Fallback>
        </mc:AlternateContent>
      </w:r>
      <w:r>
        <w:rPr>
          <w:szCs w:val="24"/>
          <w:lang w:bidi="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46355</wp:posOffset>
                </wp:positionV>
                <wp:extent cx="5622925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292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top:3.65pt;height:0pt;width:442.75pt;mso-position-horizontal:center;z-index:251661312;mso-width-relative:page;mso-height-relative:page;" fillcolor="#FFFFFF" filled="t" coordsize="21600,21600" o:gfxdata="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kkBY/0wAAAAQBAAAPAAAAAAAAAAEAIAAAACIAAABkcnMvZG93bnJldi54bWxQSwECFAAUAAAA&#10;CACHTuJA9KGp9vMBAADkAwAADgAAAAAAAAABACAAAAAiAQAAZHJzL2Uyb0RvYy54bWxQSwUGAAAA&#10;AAYABgBZAQAAhwUAAAAA&#10;">
                <v:path arrowok="t"/>
                <v:fill on="t" focussize="0,0"/>
                <v:stroke/>
                <v:imagedata o:title=""/>
                <o:lock v:ext="edit"/>
              </v:line>
            </w:pict>
          </mc:Fallback>
        </mc:AlternateConten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青海省自然资源厅办公室</w:t>
      </w:r>
      <w:r>
        <w:rPr>
          <w:rFonts w:hint="eastAsia" w:ascii="仿宋_GB2312" w:eastAsia="仿宋_GB2312" w:cs="仿宋_GB2312"/>
          <w:sz w:val="28"/>
          <w:szCs w:val="28"/>
          <w:lang w:bidi="ar"/>
        </w:rPr>
        <w:t xml:space="preserve">                   </w:t>
      </w:r>
      <w:bookmarkStart w:id="1" w:name="xiaoxie"/>
      <w:r>
        <w:rPr>
          <w:rFonts w:hint="eastAsia" w:ascii="仿宋_GB2312" w:eastAsia="仿宋_GB2312" w:cs="仿宋_GB2312"/>
          <w:sz w:val="28"/>
          <w:szCs w:val="28"/>
          <w:lang w:bidi="ar"/>
        </w:rPr>
        <w:t>2021年3月29日</w:t>
      </w:r>
      <w:bookmarkEnd w:id="1"/>
      <w:r>
        <w:rPr>
          <w:rFonts w:hint="eastAsia" w:ascii="仿宋_GB2312" w:eastAsia="仿宋_GB2312" w:cs="仿宋_GB2312"/>
          <w:sz w:val="28"/>
          <w:szCs w:val="28"/>
          <w:lang w:bidi="ar"/>
        </w:rPr>
        <w:t>印发</w: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 xml:space="preserve">   </w:t>
      </w:r>
    </w:p>
    <w:p>
      <w:bookmarkStart w:id="2" w:name="_GoBack"/>
      <w:bookmarkEnd w:id="2"/>
    </w:p>
    <w:sectPr>
      <w:pgSz w:w="11906" w:h="16838"/>
      <w:pgMar w:top="2098" w:right="1531" w:bottom="1985" w:left="1531" w:header="851" w:footer="992" w:gutter="0"/>
      <w:cols w:space="720" w:num="1"/>
      <w:docGrid w:type="linesAndChar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A36629"/>
    <w:rsid w:val="02414FBE"/>
    <w:rsid w:val="08C8142C"/>
    <w:rsid w:val="14406D1A"/>
    <w:rsid w:val="1BF42190"/>
    <w:rsid w:val="243C4824"/>
    <w:rsid w:val="287C3F5C"/>
    <w:rsid w:val="2D0217D1"/>
    <w:rsid w:val="2FC24AB4"/>
    <w:rsid w:val="30983156"/>
    <w:rsid w:val="3AB233B2"/>
    <w:rsid w:val="4F1626FB"/>
    <w:rsid w:val="55592255"/>
    <w:rsid w:val="58F53D7F"/>
    <w:rsid w:val="68A36629"/>
    <w:rsid w:val="69C8183A"/>
    <w:rsid w:val="6DC14F84"/>
    <w:rsid w:val="6F1533BF"/>
    <w:rsid w:val="78E3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_0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2021-04-08T09:28:00Z</dcterms:created>
  <dc:creator>Administrator</dc:creator>
  <cp:lastModifiedBy>Administrator</cp:lastModifiedBy>
  <dcterms:modified xsi:type="dcterms:W3CDTF">2021-04-08T09:29:00Z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2052-11.1.0.10446</vt:lpwstr>
  </property>
  <property fmtid="{D5CDD505-2E9C-101B-9397-08002B2CF9AE}" pid="3" name="ICV">
    <vt:lpwstr>BEC336DE06EA48FDB5AAC2A26B92DDB8</vt:lpwstr>
  </property>
</Properties>
</file>