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val="0"/>
          <w:bCs w:val="0"/>
          <w:sz w:val="36"/>
          <w:szCs w:val="36"/>
          <w:lang w:eastAsia="zh-CN"/>
        </w:rPr>
      </w:pPr>
      <w:r>
        <w:rPr>
          <w:rFonts w:hint="eastAsia" w:ascii="方正小标宋简体" w:hAnsi="方正小标宋简体" w:eastAsia="方正小标宋简体" w:cs="方正小标宋简体"/>
          <w:b w:val="0"/>
          <w:bCs w:val="0"/>
          <w:sz w:val="36"/>
          <w:szCs w:val="36"/>
          <w:lang w:eastAsia="zh-CN"/>
        </w:rPr>
        <w:t>青海省关于坚决制止耕地“非农化”行为工作方案</w:t>
      </w:r>
    </w:p>
    <w:p>
      <w:pPr>
        <w:jc w:val="left"/>
        <w:rPr>
          <w:rFonts w:hint="eastAsia" w:ascii="仿宋_GB2312" w:hAnsi="仿宋_GB2312" w:eastAsia="仿宋_GB2312" w:cs="仿宋_GB2312"/>
          <w:b w:val="0"/>
          <w:bCs w:val="0"/>
          <w:sz w:val="32"/>
          <w:szCs w:val="32"/>
          <w:lang w:eastAsia="zh-CN"/>
        </w:rPr>
      </w:pPr>
    </w:p>
    <w:p>
      <w:pPr>
        <w:jc w:val="both"/>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各市、自治州人民政府，省政府各委、办、厅、局：</w:t>
      </w:r>
    </w:p>
    <w:p>
      <w:pPr>
        <w:ind w:firstLine="64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为贯彻落实《国务院办公厅关于坚决制止耕地“非农化”行为的通知》（国办发明电〔2020〕24号）要求，全面加强全省耕地保护工作，结合我省实际，制定本工作方案。</w:t>
      </w:r>
    </w:p>
    <w:p>
      <w:pPr>
        <w:numPr>
          <w:ilvl w:val="0"/>
          <w:numId w:val="1"/>
        </w:numPr>
        <w:ind w:firstLine="64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指导思想</w:t>
      </w:r>
    </w:p>
    <w:p>
      <w:pPr>
        <w:widowControl w:val="0"/>
        <w:numPr>
          <w:ilvl w:val="0"/>
          <w:numId w:val="0"/>
        </w:numPr>
        <w:ind w:firstLine="640"/>
        <w:jc w:val="left"/>
        <w:rPr>
          <w:rFonts w:hint="eastAsia" w:ascii="黑体" w:hAnsi="黑体" w:eastAsia="黑体" w:cs="黑体"/>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以习近平新时代中国特色社会主义思想为指导，深入学习习近平生态文明思想和关于耕地保护的系列重要指示批示精神，全面贯彻落实党中央国务院及省委省政府关于严格保护耕地的决策部署，坚持“一优两高”发展战略，坚决防范和制止耕地“非农化”行为，为严守耕地保护红线、确保粮食安全提供有力保障。 </w:t>
      </w:r>
    </w:p>
    <w:p>
      <w:pPr>
        <w:ind w:firstLine="64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二、工作目标</w:t>
      </w:r>
    </w:p>
    <w:p>
      <w:pPr>
        <w:ind w:firstLine="640"/>
        <w:jc w:val="both"/>
        <w:rPr>
          <w:rFonts w:hint="eastAsia" w:ascii="黑体" w:hAnsi="黑体" w:eastAsia="黑体" w:cs="黑体"/>
          <w:b w:val="0"/>
          <w:bCs w:val="0"/>
          <w:sz w:val="32"/>
          <w:szCs w:val="32"/>
          <w:u w:val="single"/>
          <w:lang w:val="en-US" w:eastAsia="zh-CN"/>
        </w:rPr>
      </w:pPr>
      <w:r>
        <w:rPr>
          <w:rFonts w:hint="eastAsia" w:ascii="仿宋_GB2312" w:hAnsi="仿宋_GB2312" w:eastAsia="仿宋_GB2312" w:cs="仿宋_GB2312"/>
          <w:b w:val="0"/>
          <w:bCs w:val="0"/>
          <w:sz w:val="32"/>
          <w:szCs w:val="32"/>
          <w:lang w:val="en-US" w:eastAsia="zh-CN"/>
        </w:rPr>
        <w:t>全面摸清全省耕地特别是永久基本农田利用现状，严厉查处违法违规占用耕地及永久基本农田行为</w:t>
      </w:r>
      <w:r>
        <w:rPr>
          <w:rFonts w:hint="eastAsia" w:ascii="仿宋_GB2312" w:hAnsi="仿宋_GB2312" w:eastAsia="仿宋_GB2312" w:cs="仿宋_GB2312"/>
          <w:b w:val="0"/>
          <w:bCs w:val="0"/>
          <w:sz w:val="32"/>
          <w:szCs w:val="32"/>
          <w:u w:val="none"/>
          <w:lang w:val="en-US" w:eastAsia="zh-CN"/>
        </w:rPr>
        <w:t>，坚决遏制新增问题发生。</w:t>
      </w:r>
    </w:p>
    <w:p>
      <w:pPr>
        <w:ind w:firstLine="64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三、工作任务</w:t>
      </w:r>
    </w:p>
    <w:p>
      <w:pPr>
        <w:ind w:firstLine="64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根据《通知》要求，明确工作任务及职责分工，全面清全省耕地及永久基本农田“非农化”现状，严格落实耕地保护主体责任，坚决制止耕地“非农化”行为。</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（一）严禁违规占用耕地绿化造林</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全面排查永久基本农田内种植苗木、草皮等用于绿化装饰以及其他破坏耕作层的植物情况。对未经批准私自在耕地及永久基本农田范围内开展退耕还林的，不予核实造林面积，不享受补助政策。对违规占用耕地及永久基本农田正在进行绿化造林的应立即予以制止。（牵头单位：各市州人民政府，配合部门：省自然资源厅、省林草局）</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（二）严禁占用耕地超标准建设绿色通道</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国家规定，摸清全省铁路、县乡道路以上标准公路两侧用地范围以外，河渠两侧、水库周边超标准占用耕地及永久基本农田建设绿色通道、绿化带情况。对违规占用耕地及永久基本农田正在建设的绿色通道、绿化带等行为，应立即予以制止。（牵头单位：各市州人民政府，配合部门：省自然资源厅、省林草局、省交通运输厅、省水利厅）</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（三）严禁违规占用耕地挖湖造景</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全面摸清在耕地及永久基本农田内进行挖田造湖、挖湖造景等情况。对违规在耕地及永久基本农田范围内进行挖湖造景、挖田造湖等行为应立即停止，对占用永久基本农田的限期恢复土地原状，确实无法恢复的，在依法依规严肃处理的基础上，按照国家有关规定进行调整补划。（牵头单位：各市州人民政府，配合部门：省发展改革委员会、省自然资源厅、省林草局、省水利厅）</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（四）严禁占用永久基本农田扩大自然保护地</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核清全省生态红线内、各类自然保护地范围耕地以及永久基本农田分布情况。对已划入自然保护地的永久基本农田依照国家规定，有序退出或保留。今后新设自然保护地，不得占用永久基本农田。（牵头单位：各市州人民政府，配合部门：省自然资源厅、省林草局、青海湖景区管理局）</w:t>
      </w:r>
    </w:p>
    <w:p>
      <w:pPr>
        <w:widowControl w:val="0"/>
        <w:numPr>
          <w:ilvl w:val="0"/>
          <w:numId w:val="0"/>
        </w:numPr>
        <w:ind w:firstLine="640" w:firstLineChars="200"/>
        <w:jc w:val="left"/>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（五）严禁违规占用耕地从事非农建设</w:t>
      </w:r>
    </w:p>
    <w:p>
      <w:pPr>
        <w:widowControl w:val="0"/>
        <w:numPr>
          <w:ilvl w:val="0"/>
          <w:numId w:val="0"/>
        </w:numPr>
        <w:ind w:firstLine="640" w:firstLineChars="200"/>
        <w:jc w:val="left"/>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结合“大棚房”问题清理整治成果、农村乱占耕地建房等成果资料，全面掌握耕地上非农建设情况。各地政府要加强对各类违法乱占耕地从事非农建设行为的严厉查处，对有令不行、有禁不止的严肃追究责任，切实履行起耕地保护的主体责任。自然资源主管部门要严格执行耕地保护法规政策，细化分解耕地保护责任目标，加大执法督察力度，会同有关部门做好市州级政府耕地保护责任目标履行情况的考核工作。农业农村主管部门要做好耕地质量保护提升工作，引导新增耕地进行粮食种植。（牵头单位：各市州人民政府，配合部门：省自然资源厅、省农业农村厅、省统计局）</w:t>
      </w:r>
    </w:p>
    <w:p>
      <w:pPr>
        <w:widowControl w:val="0"/>
        <w:numPr>
          <w:ilvl w:val="0"/>
          <w:numId w:val="0"/>
        </w:numPr>
        <w:ind w:firstLine="640" w:firstLineChars="200"/>
        <w:jc w:val="left"/>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（六）严禁违法违规批地用地</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建设项目用地必须符合国土空间规划，凡不符合国土空间规划以及不符合土地管理法律法规规定和国家产业政策的建设项目，不予批准用地。各地区不得通过擅自调整国土空间规划规避占用永久基本农田审批。各项建设用地必须按照法定权限和程序报批，按照批准的用途、位置、标准使用，严禁擅自改变用途、位置和使用面积。临时用地不得超过规定时限长期使用。对未经批准或不符合规定的建设项目、临时用地等占用耕地及永久基本农田情况，依法依规严肃处理，责令限期恢复原种植条件。</w:t>
      </w:r>
    </w:p>
    <w:p>
      <w:pPr>
        <w:ind w:firstLine="64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四、工作安排</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(一)前期准备阶段</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收集永久基本农田划定成果矢量数据、最新土地利用年度变更调查矢量数据、三调时点更新矢量数据、退耕还林还草有关数据、建成和在建交通建设项目勘界矢量数据、城市新建人造湿地公园和水利景观范围矢量数据、生态红线和自然保护地矢量数据等有关资料。省级根据前期准备资料，完成各类摸排问题疑似图斑的提取，并下发各地核查。（完成时限：2020年11月下旬）</w:t>
      </w:r>
      <w:bookmarkStart w:id="0" w:name="_GoBack"/>
      <w:bookmarkEnd w:id="0"/>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（二）贯彻落实上报国家阶段</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将我省贯彻落实耕地“非农化”报告经省政府审定上报国务院及国家有关部门。（完成时限：2020年12月底）</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（三）摸排及成果上报阶段</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各市州根据省级下发疑似图斑，全面组织辖区内各县（市）开展实地核查工作，核查结果由市州政府汇总并加盖公章后汇交至省自然资源厅。（完成时限：2021年4月上旬）  </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（四）分析汇总阶段</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省级根据各地汇交成果进行分析研判，起草我省制止耕地“非农化”贯彻落实有关情况报告，提请省政府审定。    （完成时限：2021年4月下旬）</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（五）持续整改阶段</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根据各地摸排问题清单，按照国家有关规定，持续做好问题整改工作。（完成时限：长期）</w:t>
      </w:r>
    </w:p>
    <w:p>
      <w:pPr>
        <w:ind w:firstLine="64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 xml:space="preserve">五、工作要求  </w:t>
      </w:r>
    </w:p>
    <w:p>
      <w:pPr>
        <w:ind w:firstLine="64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（一）加强组织领导</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各地党委、政府要高度重视，按照“党委领导、政府负责、部门协同、公众参与、上下联动”要求，强化组织领导，统一推进各项工作顺利开展。省级成立制止耕地“非农化”行为联席会议制度，负责重大问题的研究、协商，部署开展相关工作；联席会议下设办公室，办公室设在省自然资源厅，负责传达党中央、国务院及省委省政府有关精神，统筹协调各项工作。</w:t>
      </w:r>
    </w:p>
    <w:p>
      <w:pPr>
        <w:ind w:firstLine="64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（二）压实工作责任</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全省各级政府要严格落实耕地保护主体责任，全面摸清核实本辖区耕地“非农化”状况。政府分管负责同志要直接负责，组织相关部门按照职责分工履职尽责，积极采取有效措施，严格源头控制，强化过程监督，坚决制止耕地“非农化”行为，确保本行政区域内耕地保护责任目标的有效落实。各有关部门要各司其职、紧密配合、主动作为，落实耕地保护共同责任。</w:t>
      </w:r>
    </w:p>
    <w:p>
      <w:pPr>
        <w:numPr>
          <w:ilvl w:val="0"/>
          <w:numId w:val="0"/>
        </w:numPr>
        <w:ind w:firstLine="640" w:firstLineChars="200"/>
        <w:jc w:val="both"/>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（三）强化宣传引导</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充分发挥基层部门工作优势，利用各种宣传方式开展宣传工作，重点对耕地“非农化”政策，永久基本农田“非粮化”思想，向社会广泛公告、宣传相关规定，使广大干部群众充分认识保护耕地、保障粮食安全的极端重要性，将严格耕地保护，坚决打击违法占用耕地的决心深入人心。同时要发挥舆论监督作用，注重舆情分析研判，坚持正确的舆论导向，争取摸排整治工作得到广大群众的理解和支持。</w:t>
      </w: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w:t>
      </w:r>
    </w:p>
    <w:p>
      <w:pPr>
        <w:numPr>
          <w:ilvl w:val="0"/>
          <w:numId w:val="0"/>
        </w:numPr>
        <w:ind w:firstLine="640"/>
        <w:jc w:val="cente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附件：1.青海省坚决制止耕地“非农化”联席会议制</w:t>
      </w:r>
    </w:p>
    <w:p>
      <w:pPr>
        <w:numPr>
          <w:ilvl w:val="0"/>
          <w:numId w:val="0"/>
        </w:numPr>
        <w:ind w:firstLine="1740" w:firstLineChars="544"/>
        <w:jc w:val="both"/>
        <w:rPr>
          <w:rFonts w:hint="eastAsia" w:ascii="方正小标宋简体" w:hAnsi="方正小标宋简体" w:eastAsia="方正小标宋简体" w:cs="方正小标宋简体"/>
          <w:b w:val="0"/>
          <w:bCs w:val="0"/>
          <w:sz w:val="36"/>
          <w:szCs w:val="36"/>
          <w:lang w:val="en-US" w:eastAsia="zh-CN"/>
        </w:rPr>
      </w:pPr>
      <w:r>
        <w:rPr>
          <w:rFonts w:hint="eastAsia" w:ascii="仿宋_GB2312" w:hAnsi="仿宋_GB2312" w:eastAsia="仿宋_GB2312" w:cs="仿宋_GB2312"/>
          <w:b w:val="0"/>
          <w:bCs w:val="0"/>
          <w:sz w:val="32"/>
          <w:szCs w:val="32"/>
          <w:lang w:val="en-US" w:eastAsia="zh-CN"/>
        </w:rPr>
        <w:t>2.部分成员单位职责</w:t>
      </w: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附件：1</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p>
    <w:p>
      <w:pPr>
        <w:numPr>
          <w:ilvl w:val="0"/>
          <w:numId w:val="0"/>
        </w:numPr>
        <w:jc w:val="center"/>
        <w:rPr>
          <w:rFonts w:hint="eastAsia"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lang w:val="en-US" w:eastAsia="zh-CN"/>
        </w:rPr>
        <w:t>青海省坚决制止耕地“非农化”联席会议制度</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一、主要职责</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贯彻落实党中央、国务院以及省委省政府重大决策部署，统筹协调全省坚决禁止耕地“非农化”工作，督促各地落实耕地“非农化”有关规定和要求，协调解决重大问题，制定全省坚决制止耕地“非农化”行为工作方案，协调指导各地做好制止耕地“非农化”行为；研究拟定坚决制止耕地“非农化”行为政策措施，向省政府提出建议；完成省委省政府交办的其他事项。</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二、成员单位</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联席会议由西宁市人民政府、海东市人民政府、海西州人民政府、海南州人民政府、 海北州人民政府、玉树州人民政府、果洛州人民政府、黄南州人民政府、省发展和改革委员会、省财政厅、省自然资源厅、省农业农村厅、省统计局、省水利厅、省住房建设厅、省交通运输厅、省林业和草原局、青藏铁路公司等部门和单位组成，省自然资源厅、省农业农村厅为牵头单位。</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联席会议由省自然资源厅分管负责同志担任召集人，各成员单位有关负责同志为联席会议成员。</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联席会议办公室设在省自然资源厅，办公室主任由省自然资源厅耕地保护监督处主要负责同志兼任，副主任由农业农村厅1名相关业务处室主要负责同志兼任，其他成员单位由1名相关处室主要负责同志为办公室成员。</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三、工作规则</w:t>
      </w:r>
    </w:p>
    <w:p>
      <w:pPr>
        <w:numPr>
          <w:ilvl w:val="0"/>
          <w:numId w:val="0"/>
        </w:numPr>
        <w:ind w:firstLine="64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联席会议根据工作需要定期或不定期召开会议，由召集人主持，研究协商议定事项，经与会单位同意后印发有关单位，同时抄报省政府。根据工作需要，可临时召开全体会议或部分成员单位会议，也可邀请其他部门参加会议，研究相关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四、工作要求</w:t>
      </w: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各成员单位要按照职责分工，主动研究和加强耕地“非农化”有关问题，积极参加联席会议，认真落实联席会议。议定事项要互通信息、密切配合、相互支持、形成合力，充分发挥联席会议的作用。联席会议办公室要加强对联席会议议定事项的跟踪督促落实。</w:t>
      </w: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w:t>
      </w: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附件：2</w:t>
      </w:r>
    </w:p>
    <w:p>
      <w:pPr>
        <w:numPr>
          <w:ilvl w:val="0"/>
          <w:numId w:val="0"/>
        </w:numPr>
        <w:jc w:val="center"/>
        <w:rPr>
          <w:rFonts w:hint="eastAsia"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lang w:val="en-US" w:eastAsia="zh-CN"/>
        </w:rPr>
        <w:t>部分成员单位职责</w:t>
      </w: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各地区、各部门要高度重视，主动作为，深刻领会坚决制止耕地“非农化”精神要义。积极梳理本地区、本部门制定出台相关政策规定，凡与当前国家政策相违背、抵触的，抓紧时间修改完善纠正，对正在实施的禁止违规类项目，立即停止建设。对梳理出涉及本地区、本部门工作职责范围内的问题，要研究提出整改措施意见。</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一、各市、自治州人民政府</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禁止耕地“非农化”行为第一责任人，按照省级工作部署，全面摸清核实本辖区耕地“非农化”现状，坚决遏制耕地“非农化”新增行为；负责组织各类宣传媒体做好宣传、舆论引导和监督工作。组织各部门做好今后本辖区耕地“非农化”的监督管理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二、省自然资源厅</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负责耕地以及永久基本农田、生态红线、自然保护地等有关数据的分析，提取下发疑似图斑，汇总各地提交实地核查成果数据，与省农业农村厅联合起草青海省耕地“非农化”有关报告；会同省农业农村厅、省统计局做好省级耕地保护责任目标考核及市州级政府耕地保护责任目标履行情况的考核工作；负责督导西宁市和果洛州落实坚决制止耕地“非农化”行为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三、省农业农村厅</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国家要求对永久基本农田“非粮化”进行产业政策的宣传引导，会同省自然资源厅对各地提交的耕地“非农化”实地核查成果进行复核认定；与省自然资源厅、省统计局做好省级耕地保护责任目标考核及对市州级政府耕地保护责任目标履行情况的考核工作；负责督导海东市落实坚决制止耕地“非农化”行为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四、省统计局</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会同省自然资源厅、省农业农村厅做好省级耕地保护责任目标考核及对市州级政府耕地保护责任目标履行情况的考核工作；负责督导黄南州落实坚决制止耕地“非农化”行为工作。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五、省林业和草原局</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负责提供退耕还林还草成果数据、政策依据等有关资料，指导督促各地对违规占用耕地及永久基本农田造林的，不予核实造林面积，不享受财政资金补助。对符合国家政策的，将涉及地块全部上图入库管理。对正在违规占用耕地绿化造林的立即制止；负责督导海北州落实坚决制止耕地“非农化”行为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六、省水利厅</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指导各地对涉及水利工程管护范围内乱占耕地行为进行摸排调查；负责督导玉树州落实坚决制止耕地“非农化”行为工作。</w:t>
      </w: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w:t>
      </w:r>
      <w:r>
        <w:rPr>
          <w:rFonts w:hint="eastAsia" w:ascii="黑体" w:hAnsi="黑体" w:eastAsia="黑体" w:cs="黑体"/>
          <w:b w:val="0"/>
          <w:bCs w:val="0"/>
          <w:sz w:val="32"/>
          <w:szCs w:val="32"/>
          <w:lang w:val="en-US" w:eastAsia="zh-CN"/>
        </w:rPr>
        <w:t xml:space="preserve">   七、省交通厅</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负责提供交通项目勘界矢量数据，指导配合各地开展交通建设项目道路两侧用地范围外违规占用耕地，超规模绿化的摸排工作，对正在超标准建设绿化带行为的立即停止。负责督导海西州州落实坚决制止耕地“非农化”行为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八、省住房和城乡建设厅</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会同省林草局及有关单位提供城市新建人造湿地公园和水利景观范围矢量数据；负责督导海南州落实坚决制止耕地“非农化”行为工作。</w:t>
      </w:r>
    </w:p>
    <w:p>
      <w:pPr>
        <w:numPr>
          <w:ilvl w:val="0"/>
          <w:numId w:val="0"/>
        </w:numPr>
        <w:ind w:firstLine="640" w:firstLineChars="2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九、青藏铁路公司</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负责提供建设项目勘界矢量数据，指导配合地方开展铁路项目两侧用地范围外违规占用耕地超规模绿化的摸排工作，对正在超标准建设绿化带行为的立即停止。</w:t>
      </w:r>
    </w:p>
    <w:p>
      <w:pPr>
        <w:numPr>
          <w:ilvl w:val="0"/>
          <w:numId w:val="0"/>
        </w:numPr>
        <w:ind w:firstLine="640" w:firstLineChars="200"/>
        <w:jc w:val="both"/>
        <w:rPr>
          <w:rFonts w:hint="eastAsia" w:ascii="仿宋_GB2312" w:hAnsi="仿宋_GB2312" w:eastAsia="仿宋_GB2312" w:cs="仿宋_GB2312"/>
          <w:b w:val="0"/>
          <w:bCs w:val="0"/>
          <w:sz w:val="32"/>
          <w:szCs w:val="32"/>
          <w:lang w:val="en-US"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Batang">
    <w:panose1 w:val="02030600000101010101"/>
    <w:charset w:val="81"/>
    <w:family w:val="auto"/>
    <w:pitch w:val="default"/>
    <w:sig w:usb0="B00002AF" w:usb1="69D77CFB" w:usb2="00000030" w:usb3="00000000" w:csb0="4008009F" w:csb1="DFD7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华文宋体">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楷体">
    <w:panose1 w:val="02010609060101010101"/>
    <w:charset w:val="86"/>
    <w:family w:val="modern"/>
    <w:pitch w:val="default"/>
    <w:sig w:usb0="800002BF" w:usb1="38CF7CFA" w:usb2="00000016" w:usb3="00000000" w:csb0="00040001" w:csb1="00000000"/>
  </w:font>
  <w:font w:name="MingLiU">
    <w:panose1 w:val="02020509000000000000"/>
    <w:charset w:val="88"/>
    <w:family w:val="modern"/>
    <w:pitch w:val="default"/>
    <w:sig w:usb0="A00002FF" w:usb1="28CFFCFA" w:usb2="00000016" w:usb3="00000000" w:csb0="00100001" w:csb1="00000000"/>
  </w:font>
  <w:font w:name="Courier New">
    <w:panose1 w:val="02070309020205020404"/>
    <w:charset w:val="00"/>
    <w:family w:val="modern"/>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98ED37"/>
    <w:multiLevelType w:val="singleLevel"/>
    <w:tmpl w:val="5F98ED37"/>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E01A4C"/>
    <w:rsid w:val="05846CB4"/>
    <w:rsid w:val="072E2AF8"/>
    <w:rsid w:val="07BD5345"/>
    <w:rsid w:val="095D0DF0"/>
    <w:rsid w:val="098A09E1"/>
    <w:rsid w:val="0A940B7A"/>
    <w:rsid w:val="0CB20682"/>
    <w:rsid w:val="0CD9124D"/>
    <w:rsid w:val="10AC1944"/>
    <w:rsid w:val="17947137"/>
    <w:rsid w:val="1EE21CFA"/>
    <w:rsid w:val="1FE52CA0"/>
    <w:rsid w:val="1FF30D86"/>
    <w:rsid w:val="209768B9"/>
    <w:rsid w:val="21981BE0"/>
    <w:rsid w:val="22D17C44"/>
    <w:rsid w:val="24D60CF1"/>
    <w:rsid w:val="25555298"/>
    <w:rsid w:val="264E46D2"/>
    <w:rsid w:val="2D1426F8"/>
    <w:rsid w:val="315C03F3"/>
    <w:rsid w:val="35947871"/>
    <w:rsid w:val="35E905AA"/>
    <w:rsid w:val="3A7F0AF9"/>
    <w:rsid w:val="3AFC03A8"/>
    <w:rsid w:val="3C9461A7"/>
    <w:rsid w:val="3D2E441E"/>
    <w:rsid w:val="3EC864C3"/>
    <w:rsid w:val="41873493"/>
    <w:rsid w:val="42D561A3"/>
    <w:rsid w:val="44731C84"/>
    <w:rsid w:val="447C7FEB"/>
    <w:rsid w:val="453B336A"/>
    <w:rsid w:val="4887138D"/>
    <w:rsid w:val="4B1D4D00"/>
    <w:rsid w:val="54013BA4"/>
    <w:rsid w:val="549E07B1"/>
    <w:rsid w:val="5E9426D5"/>
    <w:rsid w:val="5ED156B2"/>
    <w:rsid w:val="60D52547"/>
    <w:rsid w:val="65E01A4C"/>
    <w:rsid w:val="729D4966"/>
    <w:rsid w:val="74A13DB9"/>
    <w:rsid w:val="7E1D22C1"/>
    <w:rsid w:val="7F3C58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华文新魏" w:asciiTheme="minorHAnsi" w:hAnsiTheme="minorHAnsi" w:eastAsiaTheme="minorEastAsia"/>
      <w:b/>
      <w:bCs/>
      <w:kern w:val="10"/>
      <w:sz w:val="144"/>
      <w:szCs w:val="14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2020-09-24T03:19:00Z</dcterms:created>
  <dc:creator>NTKO</dc:creator>
  <cp:lastModifiedBy>NTKO</cp:lastModifiedBy>
  <cp:lastPrinted>2020-12-09T00:46:17Z</cp:lastPrinted>
  <dcterms:modified xsi:type="dcterms:W3CDTF">2020-12-09T06:20:59Z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